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Default="00EC3710">
      <w:pPr>
        <w:rPr>
          <w:rFonts w:cstheme="minorHAnsi"/>
          <w:b/>
          <w:color w:val="365F91" w:themeColor="accent1" w:themeShade="BF"/>
          <w:sz w:val="40"/>
          <w:szCs w:val="40"/>
        </w:rPr>
      </w:pPr>
      <w:r>
        <w:rPr>
          <w:rFonts w:cstheme="minorHAnsi"/>
          <w:b/>
          <w:color w:val="365F91" w:themeColor="accent1" w:themeShade="BF"/>
          <w:sz w:val="40"/>
          <w:szCs w:val="40"/>
        </w:rPr>
        <w:t>PHIPA</w:t>
      </w:r>
      <w:r w:rsidR="00000B58" w:rsidRPr="00000B58">
        <w:rPr>
          <w:rFonts w:cstheme="minorHAnsi"/>
          <w:b/>
          <w:color w:val="365F91" w:themeColor="accent1" w:themeShade="BF"/>
          <w:sz w:val="40"/>
          <w:szCs w:val="40"/>
        </w:rPr>
        <w:t xml:space="preserve"> Compliance </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This policy is designed to help physicians understand their legal and professional obligations to maintain patient confidentiality. It is intended to provide a general overview of the confidentiality requirements set out under the </w:t>
      </w:r>
      <w:r w:rsidRPr="00EC3710">
        <w:rPr>
          <w:rFonts w:ascii="Arial" w:eastAsia="Times New Roman" w:hAnsi="Arial" w:cs="Arial"/>
          <w:i/>
          <w:iCs/>
          <w:color w:val="333333"/>
          <w:sz w:val="20"/>
          <w:szCs w:val="20"/>
        </w:rPr>
        <w:t>Personal Health Information Protection Act, 2004</w:t>
      </w:r>
      <w:r w:rsidRPr="00EC3710">
        <w:rPr>
          <w:rFonts w:ascii="Arial" w:eastAsia="Times New Roman" w:hAnsi="Arial" w:cs="Arial"/>
          <w:color w:val="333333"/>
          <w:sz w:val="20"/>
          <w:szCs w:val="20"/>
        </w:rPr>
        <w:t>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w:t>
      </w:r>
      <w:r w:rsidRPr="00EC3710">
        <w:rPr>
          <w:rFonts w:ascii="Arial" w:eastAsia="Times New Roman" w:hAnsi="Arial" w:cs="Arial"/>
          <w:color w:val="333333"/>
          <w:sz w:val="20"/>
          <w:szCs w:val="20"/>
          <w:vertAlign w:val="superscript"/>
        </w:rPr>
        <w:t>1</w:t>
      </w:r>
      <w:r w:rsidRPr="00EC3710">
        <w:rPr>
          <w:rFonts w:ascii="Arial" w:eastAsia="Times New Roman" w:hAnsi="Arial" w:cs="Arial"/>
          <w:color w:val="333333"/>
          <w:sz w:val="20"/>
          <w:szCs w:val="20"/>
        </w:rPr>
        <w:t> and to outline other professional obligations related to patient confidentiality and the practice of medicine. It is not meant to be construed as legal advice, nor does it address all matters pertaining to the confidentiality of patient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Given the complexities of the legal requirements, physicians are reminded that whenever there is uncertainty, they are advised to contact the Physician Advisory Service at the College, their legal counsel, the Canadian Medical Protective Association (CMPA</w:t>
      </w:r>
      <w:proofErr w:type="gramStart"/>
      <w:r w:rsidRPr="00EC3710">
        <w:rPr>
          <w:rFonts w:ascii="Arial" w:eastAsia="Times New Roman" w:hAnsi="Arial" w:cs="Arial"/>
          <w:color w:val="333333"/>
          <w:sz w:val="20"/>
          <w:szCs w:val="20"/>
        </w:rPr>
        <w:t>)</w:t>
      </w:r>
      <w:r w:rsidRPr="00EC3710">
        <w:rPr>
          <w:rFonts w:ascii="Arial" w:eastAsia="Times New Roman" w:hAnsi="Arial" w:cs="Arial"/>
          <w:color w:val="333333"/>
          <w:sz w:val="20"/>
          <w:szCs w:val="20"/>
          <w:vertAlign w:val="superscript"/>
        </w:rPr>
        <w:t>2</w:t>
      </w:r>
      <w:proofErr w:type="gramEnd"/>
      <w:r w:rsidRPr="00EC3710">
        <w:rPr>
          <w:rFonts w:ascii="Arial" w:eastAsia="Times New Roman" w:hAnsi="Arial" w:cs="Arial"/>
          <w:color w:val="333333"/>
          <w:sz w:val="20"/>
          <w:szCs w:val="20"/>
        </w:rPr>
        <w:t> or the Information and Privacy Commissioner of Ontario for further direction.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76092"/>
          <w:sz w:val="20"/>
          <w:szCs w:val="20"/>
        </w:rPr>
        <w:t>Definitions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terms noted below will appear throughout this policy and have the following legal definitions under section 4 of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w:t>
      </w:r>
      <w:proofErr w:type="gramStart"/>
      <w:r w:rsidRPr="00EC3710">
        <w:rPr>
          <w:rFonts w:ascii="Arial" w:eastAsia="Times New Roman" w:hAnsi="Arial" w:cs="Arial"/>
          <w:b/>
          <w:bCs/>
          <w:color w:val="333333"/>
          <w:sz w:val="20"/>
          <w:szCs w:val="20"/>
        </w:rPr>
        <w:t>personal</w:t>
      </w:r>
      <w:proofErr w:type="gramEnd"/>
      <w:r w:rsidRPr="00EC3710">
        <w:rPr>
          <w:rFonts w:ascii="Arial" w:eastAsia="Times New Roman" w:hAnsi="Arial" w:cs="Arial"/>
          <w:b/>
          <w:bCs/>
          <w:color w:val="333333"/>
          <w:sz w:val="20"/>
          <w:szCs w:val="20"/>
        </w:rPr>
        <w:t xml:space="preserve"> health information"</w:t>
      </w:r>
      <w:r w:rsidRPr="00EC3710">
        <w:rPr>
          <w:rFonts w:ascii="Arial" w:eastAsia="Times New Roman" w:hAnsi="Arial" w:cs="Arial"/>
          <w:color w:val="333333"/>
          <w:sz w:val="20"/>
          <w:szCs w:val="20"/>
        </w:rPr>
        <w:t>, subject to certain exceptions, </w:t>
      </w:r>
      <w:r w:rsidRPr="00EC3710">
        <w:rPr>
          <w:rFonts w:ascii="Arial" w:eastAsia="Times New Roman" w:hAnsi="Arial" w:cs="Arial"/>
          <w:color w:val="333333"/>
          <w:sz w:val="20"/>
          <w:szCs w:val="20"/>
          <w:vertAlign w:val="superscript"/>
        </w:rPr>
        <w:t>3</w:t>
      </w:r>
      <w:r w:rsidRPr="00EC3710">
        <w:rPr>
          <w:rFonts w:ascii="Arial" w:eastAsia="Times New Roman" w:hAnsi="Arial" w:cs="Arial"/>
          <w:color w:val="333333"/>
          <w:sz w:val="20"/>
          <w:szCs w:val="20"/>
        </w:rPr>
        <w:t> means identifying information about an individual in oral or recorded form, if the information,</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relates to the physical or mental health of the individual, including information that consists of the health history of the individual’s family,</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relates to the providing of health care to the individual, including the identification of a person as a provider of health care to the individual,</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is a plan of service within the meaning of the </w:t>
      </w:r>
      <w:r w:rsidRPr="00EC3710">
        <w:rPr>
          <w:rFonts w:ascii="Arial" w:eastAsia="Times New Roman" w:hAnsi="Arial" w:cs="Arial"/>
          <w:i/>
          <w:iCs/>
          <w:color w:val="333333"/>
          <w:sz w:val="20"/>
          <w:szCs w:val="20"/>
        </w:rPr>
        <w:t>Long-Term Care Act, 1994</w:t>
      </w:r>
      <w:r w:rsidRPr="00EC3710">
        <w:rPr>
          <w:rFonts w:ascii="Arial" w:eastAsia="Times New Roman" w:hAnsi="Arial" w:cs="Arial"/>
          <w:color w:val="333333"/>
          <w:sz w:val="20"/>
          <w:szCs w:val="20"/>
        </w:rPr>
        <w:t>for the individual,</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relates to payments or eligibility for health care in respect of the individual,</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relates to the donation by the individual of any body part or bodily substance,</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is the individual’s health number, or</w:t>
      </w:r>
    </w:p>
    <w:p w:rsidR="00EC3710" w:rsidRPr="00EC3710" w:rsidRDefault="00EC3710" w:rsidP="00EC3710">
      <w:pPr>
        <w:numPr>
          <w:ilvl w:val="0"/>
          <w:numId w:val="9"/>
        </w:numPr>
        <w:shd w:val="clear" w:color="auto" w:fill="FFFFFF"/>
        <w:spacing w:before="100" w:beforeAutospacing="1" w:after="100" w:afterAutospacing="1" w:line="240" w:lineRule="auto"/>
        <w:rPr>
          <w:rFonts w:ascii="Arial" w:eastAsia="Times New Roman" w:hAnsi="Arial" w:cs="Arial"/>
          <w:color w:val="222222"/>
          <w:sz w:val="19"/>
          <w:szCs w:val="19"/>
        </w:rPr>
      </w:pPr>
      <w:proofErr w:type="gramStart"/>
      <w:r w:rsidRPr="00EC3710">
        <w:rPr>
          <w:rFonts w:ascii="Arial" w:eastAsia="Times New Roman" w:hAnsi="Arial" w:cs="Arial"/>
          <w:color w:val="333333"/>
          <w:sz w:val="20"/>
          <w:szCs w:val="20"/>
        </w:rPr>
        <w:t>identifies</w:t>
      </w:r>
      <w:proofErr w:type="gramEnd"/>
      <w:r w:rsidRPr="00EC3710">
        <w:rPr>
          <w:rFonts w:ascii="Arial" w:eastAsia="Times New Roman" w:hAnsi="Arial" w:cs="Arial"/>
          <w:color w:val="333333"/>
          <w:sz w:val="20"/>
          <w:szCs w:val="20"/>
        </w:rPr>
        <w:t xml:space="preserve"> an individual’s substitute decision-maker.</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w:t>
      </w:r>
      <w:proofErr w:type="gramStart"/>
      <w:r w:rsidRPr="00EC3710">
        <w:rPr>
          <w:rFonts w:ascii="Arial" w:eastAsia="Times New Roman" w:hAnsi="Arial" w:cs="Arial"/>
          <w:b/>
          <w:bCs/>
          <w:color w:val="333333"/>
          <w:sz w:val="20"/>
          <w:szCs w:val="20"/>
        </w:rPr>
        <w:t>identifying</w:t>
      </w:r>
      <w:proofErr w:type="gramEnd"/>
      <w:r w:rsidRPr="00EC3710">
        <w:rPr>
          <w:rFonts w:ascii="Arial" w:eastAsia="Times New Roman" w:hAnsi="Arial" w:cs="Arial"/>
          <w:b/>
          <w:bCs/>
          <w:color w:val="333333"/>
          <w:sz w:val="20"/>
          <w:szCs w:val="20"/>
        </w:rPr>
        <w:t xml:space="preserve"> information" </w:t>
      </w:r>
      <w:r w:rsidRPr="00EC3710">
        <w:rPr>
          <w:rFonts w:ascii="Arial" w:eastAsia="Times New Roman" w:hAnsi="Arial" w:cs="Arial"/>
          <w:color w:val="333333"/>
          <w:sz w:val="20"/>
          <w:szCs w:val="20"/>
        </w:rPr>
        <w:t>means information that identifies an individual or for which it is reasonably foreseeable in the circumstances that it could be utilized, either alone or with other information, to identify an individual.</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76092"/>
          <w:sz w:val="20"/>
          <w:szCs w:val="20"/>
        </w:rPr>
        <w:t>Principles</w:t>
      </w:r>
    </w:p>
    <w:p w:rsidR="00EC3710" w:rsidRPr="00EC3710" w:rsidRDefault="00EC3710" w:rsidP="00EC3710">
      <w:pPr>
        <w:numPr>
          <w:ilvl w:val="0"/>
          <w:numId w:val="10"/>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Physicians must act in accordance with all of their professional and legal obligations.</w:t>
      </w:r>
    </w:p>
    <w:p w:rsidR="00EC3710" w:rsidRPr="00EC3710" w:rsidRDefault="00EC3710" w:rsidP="00EC3710">
      <w:pPr>
        <w:numPr>
          <w:ilvl w:val="0"/>
          <w:numId w:val="10"/>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To establish and preserve trust in the physician-patient relationship, patients must be confident that their personal health information will remain confidential.</w:t>
      </w:r>
    </w:p>
    <w:p w:rsidR="00EC3710" w:rsidRPr="00EC3710" w:rsidRDefault="00EC3710" w:rsidP="00EC3710">
      <w:pPr>
        <w:numPr>
          <w:ilvl w:val="0"/>
          <w:numId w:val="10"/>
        </w:numPr>
        <w:shd w:val="clear" w:color="auto" w:fill="FFFFFF"/>
        <w:spacing w:before="100" w:beforeAutospacing="1" w:after="100" w:afterAutospacing="1" w:line="240" w:lineRule="auto"/>
        <w:rPr>
          <w:rFonts w:ascii="Arial" w:eastAsia="Times New Roman" w:hAnsi="Arial" w:cs="Arial"/>
          <w:color w:val="222222"/>
          <w:sz w:val="19"/>
          <w:szCs w:val="19"/>
        </w:rPr>
      </w:pPr>
      <w:r w:rsidRPr="00EC3710">
        <w:rPr>
          <w:rFonts w:ascii="Arial" w:eastAsia="Times New Roman" w:hAnsi="Arial" w:cs="Arial"/>
          <w:color w:val="333333"/>
          <w:sz w:val="20"/>
          <w:szCs w:val="20"/>
        </w:rPr>
        <w:t>Maintaining confidentiality is fundamental to providing the highest standard of patient care. Patients who understand that their information will remain confidential are more likely to provide the physician with complete and accurate health information, which in turn, leads to better treatment advice from the physician.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76092"/>
          <w:sz w:val="20"/>
          <w:szCs w:val="20"/>
        </w:rPr>
        <w:t>Policy</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College expects physicians to follow the regulations </w:t>
      </w:r>
      <w:r w:rsidRPr="00EC3710">
        <w:rPr>
          <w:rFonts w:ascii="Arial" w:eastAsia="Times New Roman" w:hAnsi="Arial" w:cs="Arial"/>
          <w:i/>
          <w:iCs/>
          <w:color w:val="333333"/>
          <w:sz w:val="20"/>
          <w:szCs w:val="20"/>
        </w:rPr>
        <w:t>under the Medicine Act, 1991</w:t>
      </w:r>
      <w:proofErr w:type="gramStart"/>
      <w:r w:rsidRPr="00EC3710">
        <w:rPr>
          <w:rFonts w:ascii="Arial" w:eastAsia="Times New Roman" w:hAnsi="Arial" w:cs="Arial"/>
          <w:color w:val="333333"/>
          <w:sz w:val="20"/>
          <w:szCs w:val="20"/>
        </w:rPr>
        <w:t>;</w:t>
      </w:r>
      <w:r w:rsidRPr="00EC3710">
        <w:rPr>
          <w:rFonts w:ascii="Arial" w:eastAsia="Times New Roman" w:hAnsi="Arial" w:cs="Arial"/>
          <w:color w:val="333333"/>
          <w:sz w:val="20"/>
          <w:szCs w:val="20"/>
          <w:vertAlign w:val="superscript"/>
        </w:rPr>
        <w:t>4</w:t>
      </w:r>
      <w:proofErr w:type="gramEnd"/>
      <w:r w:rsidRPr="00EC3710">
        <w:rPr>
          <w:rFonts w:ascii="Arial" w:eastAsia="Times New Roman" w:hAnsi="Arial" w:cs="Arial"/>
          <w:color w:val="333333"/>
          <w:sz w:val="20"/>
          <w:szCs w:val="20"/>
        </w:rPr>
        <w:t> and the rules under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when collecting, using or disclosing personal health information.</w:t>
      </w:r>
      <w:r w:rsidRPr="00EC3710">
        <w:rPr>
          <w:rFonts w:ascii="Arial" w:eastAsia="Times New Roman" w:hAnsi="Arial" w:cs="Arial"/>
          <w:color w:val="333333"/>
          <w:sz w:val="20"/>
          <w:szCs w:val="20"/>
          <w:vertAlign w:val="superscript"/>
        </w:rPr>
        <w:t>5</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While </w:t>
      </w:r>
      <w:r w:rsidRPr="00EC3710">
        <w:rPr>
          <w:rFonts w:ascii="Arial" w:eastAsia="Times New Roman" w:hAnsi="Arial" w:cs="Arial"/>
          <w:i/>
          <w:iCs/>
          <w:color w:val="333333"/>
          <w:sz w:val="20"/>
          <w:szCs w:val="20"/>
        </w:rPr>
        <w:t>PHIPA </w:t>
      </w:r>
      <w:r w:rsidRPr="00EC3710">
        <w:rPr>
          <w:rFonts w:ascii="Arial" w:eastAsia="Times New Roman" w:hAnsi="Arial" w:cs="Arial"/>
          <w:color w:val="333333"/>
          <w:sz w:val="20"/>
          <w:szCs w:val="20"/>
        </w:rPr>
        <w:t>establishes rules in relation to the “collection,” “use” and “disclosure” of personal health information, this policy will focus only on those pertaining to the “disclosure” of such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Disclosure of personal health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lastRenderedPageBreak/>
        <w:t>A physician can only disclose his or her patient’s personal health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 </w:t>
      </w:r>
      <w:proofErr w:type="gramStart"/>
      <w:r w:rsidRPr="00EC3710">
        <w:rPr>
          <w:rFonts w:ascii="Arial" w:eastAsia="Times New Roman" w:hAnsi="Arial" w:cs="Arial"/>
          <w:color w:val="333333"/>
          <w:sz w:val="20"/>
          <w:szCs w:val="20"/>
        </w:rPr>
        <w:t>when</w:t>
      </w:r>
      <w:proofErr w:type="gramEnd"/>
      <w:r w:rsidRPr="00EC3710">
        <w:rPr>
          <w:rFonts w:ascii="Arial" w:eastAsia="Times New Roman" w:hAnsi="Arial" w:cs="Arial"/>
          <w:color w:val="333333"/>
          <w:sz w:val="20"/>
          <w:szCs w:val="20"/>
        </w:rPr>
        <w:t xml:space="preserve"> he or she has the patient’s or substitute decision-maker’s consent and it is necessary for a lawful purpose;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 </w:t>
      </w:r>
      <w:proofErr w:type="gramStart"/>
      <w:r w:rsidRPr="00EC3710">
        <w:rPr>
          <w:rFonts w:ascii="Arial" w:eastAsia="Times New Roman" w:hAnsi="Arial" w:cs="Arial"/>
          <w:color w:val="333333"/>
          <w:sz w:val="20"/>
          <w:szCs w:val="20"/>
        </w:rPr>
        <w:t>where</w:t>
      </w:r>
      <w:proofErr w:type="gramEnd"/>
      <w:r w:rsidRPr="00EC3710">
        <w:rPr>
          <w:rFonts w:ascii="Arial" w:eastAsia="Times New Roman" w:hAnsi="Arial" w:cs="Arial"/>
          <w:color w:val="333333"/>
          <w:sz w:val="20"/>
          <w:szCs w:val="20"/>
        </w:rPr>
        <w:t xml:space="preserve"> it is permitted under legislation, without the patient’s or substitute decision-maker’s consent; or</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 </w:t>
      </w:r>
      <w:proofErr w:type="gramStart"/>
      <w:r w:rsidRPr="00EC3710">
        <w:rPr>
          <w:rFonts w:ascii="Arial" w:eastAsia="Times New Roman" w:hAnsi="Arial" w:cs="Arial"/>
          <w:color w:val="333333"/>
          <w:sz w:val="20"/>
          <w:szCs w:val="20"/>
        </w:rPr>
        <w:t>where</w:t>
      </w:r>
      <w:proofErr w:type="gramEnd"/>
      <w:r w:rsidRPr="00EC3710">
        <w:rPr>
          <w:rFonts w:ascii="Arial" w:eastAsia="Times New Roman" w:hAnsi="Arial" w:cs="Arial"/>
          <w:color w:val="333333"/>
          <w:sz w:val="20"/>
          <w:szCs w:val="20"/>
        </w:rPr>
        <w:t xml:space="preserve"> it is required by law.</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Consent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Generally, physicians need </w:t>
      </w:r>
      <w:r w:rsidRPr="00EC3710">
        <w:rPr>
          <w:rFonts w:ascii="Arial" w:eastAsia="Times New Roman" w:hAnsi="Arial" w:cs="Arial"/>
          <w:b/>
          <w:bCs/>
          <w:color w:val="333333"/>
          <w:sz w:val="20"/>
          <w:szCs w:val="20"/>
        </w:rPr>
        <w:t>express</w:t>
      </w:r>
      <w:r w:rsidRPr="00EC3710">
        <w:rPr>
          <w:rFonts w:ascii="Arial" w:eastAsia="Times New Roman" w:hAnsi="Arial" w:cs="Arial"/>
          <w:color w:val="333333"/>
          <w:sz w:val="20"/>
          <w:szCs w:val="20"/>
        </w:rPr>
        <w:t> or </w:t>
      </w:r>
      <w:r w:rsidRPr="00EC3710">
        <w:rPr>
          <w:rFonts w:ascii="Arial" w:eastAsia="Times New Roman" w:hAnsi="Arial" w:cs="Arial"/>
          <w:b/>
          <w:bCs/>
          <w:color w:val="333333"/>
          <w:sz w:val="20"/>
          <w:szCs w:val="20"/>
        </w:rPr>
        <w:t>implied</w:t>
      </w:r>
      <w:r w:rsidRPr="00EC3710">
        <w:rPr>
          <w:rFonts w:ascii="Arial" w:eastAsia="Times New Roman" w:hAnsi="Arial" w:cs="Arial"/>
          <w:color w:val="333333"/>
          <w:sz w:val="20"/>
          <w:szCs w:val="20"/>
        </w:rPr>
        <w:t> consent before disclosing personal health information.</w:t>
      </w:r>
      <w:r w:rsidRPr="00EC3710">
        <w:rPr>
          <w:rFonts w:ascii="Arial" w:eastAsia="Times New Roman" w:hAnsi="Arial" w:cs="Arial"/>
          <w:color w:val="333333"/>
          <w:sz w:val="20"/>
          <w:szCs w:val="20"/>
          <w:vertAlign w:val="superscript"/>
        </w:rPr>
        <w:t>6</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Physicians, however, are entitled to assume that they have the patient’s </w:t>
      </w:r>
      <w:r w:rsidRPr="00EC3710">
        <w:rPr>
          <w:rFonts w:ascii="Arial" w:eastAsia="Times New Roman" w:hAnsi="Arial" w:cs="Arial"/>
          <w:b/>
          <w:bCs/>
          <w:color w:val="333333"/>
          <w:sz w:val="20"/>
          <w:szCs w:val="20"/>
        </w:rPr>
        <w:t>implied </w:t>
      </w:r>
      <w:r w:rsidRPr="00EC3710">
        <w:rPr>
          <w:rFonts w:ascii="Arial" w:eastAsia="Times New Roman" w:hAnsi="Arial" w:cs="Arial"/>
          <w:color w:val="333333"/>
          <w:sz w:val="20"/>
          <w:szCs w:val="20"/>
        </w:rPr>
        <w:t>consent for the purposes of providing or assisting in providing health care, unless the physician disclosing the information is aware that the patient has expressly withheld or withdrawn consent.</w:t>
      </w:r>
      <w:r w:rsidRPr="00EC3710">
        <w:rPr>
          <w:rFonts w:ascii="Arial" w:eastAsia="Times New Roman" w:hAnsi="Arial" w:cs="Arial"/>
          <w:color w:val="333333"/>
          <w:sz w:val="20"/>
          <w:szCs w:val="20"/>
          <w:vertAlign w:val="superscript"/>
        </w:rPr>
        <w:t>7</w:t>
      </w:r>
      <w:r w:rsidRPr="00EC3710">
        <w:rPr>
          <w:rFonts w:ascii="Arial" w:eastAsia="Times New Roman" w:hAnsi="Arial" w:cs="Arial"/>
          <w:color w:val="333333"/>
          <w:sz w:val="20"/>
          <w:szCs w:val="20"/>
        </w:rPr>
        <w:t> This means that, without reason to believe otherwise, physicians can share information with others involved within the patient’s circle of care</w:t>
      </w:r>
      <w:r w:rsidRPr="00EC3710">
        <w:rPr>
          <w:rFonts w:ascii="Arial" w:eastAsia="Times New Roman" w:hAnsi="Arial" w:cs="Arial"/>
          <w:color w:val="333333"/>
          <w:sz w:val="20"/>
          <w:szCs w:val="20"/>
          <w:vertAlign w:val="superscript"/>
        </w:rPr>
        <w:t>8</w:t>
      </w:r>
      <w:r w:rsidRPr="00EC3710">
        <w:rPr>
          <w:rFonts w:ascii="Arial" w:eastAsia="Times New Roman" w:hAnsi="Arial" w:cs="Arial"/>
          <w:color w:val="333333"/>
          <w:sz w:val="20"/>
          <w:szCs w:val="20"/>
        </w:rPr>
        <w:t> without asking for the patient’s consent.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patient’s </w:t>
      </w:r>
      <w:r w:rsidRPr="00EC3710">
        <w:rPr>
          <w:rFonts w:ascii="Arial" w:eastAsia="Times New Roman" w:hAnsi="Arial" w:cs="Arial"/>
          <w:b/>
          <w:bCs/>
          <w:color w:val="333333"/>
          <w:sz w:val="20"/>
          <w:szCs w:val="20"/>
        </w:rPr>
        <w:t>express </w:t>
      </w:r>
      <w:r w:rsidRPr="00EC3710">
        <w:rPr>
          <w:rFonts w:ascii="Arial" w:eastAsia="Times New Roman" w:hAnsi="Arial" w:cs="Arial"/>
          <w:color w:val="333333"/>
          <w:sz w:val="20"/>
          <w:szCs w:val="20"/>
        </w:rPr>
        <w:t>consent is required for providing his or her personal health information outside of the circle of care, except where otherwise directed by statute.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"Lock Boxes"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term “lock box” applies to situations where the patient has expressly restricted his or her physician from disclosing specific personal health information to others – even to others involved in the patient’s circle of care.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Where in the course of treatment, a physician is not able to disclose to another physician or health care provider all of the information reasonably necessary for providing care, the physician must notify the recipient of that fact. Physicians are advised to discuss with patients the potential health risks associated with creating a lock box. These discussions and the patient’s decision should be well documented in the patient’s medical record.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Alternatively, if the lock box creates a situation where the physician feels the patient’s safety is at risk, the physician can refuse to provide treatment when it is not an emergency situation. The physician should explain the reasons for his or her decision not to treat the patient and note all relevant discussions in the patient’s health record.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It is to be noted that patients may not prevent the physician from disclosing personal health information permitted or required by law.</w:t>
      </w:r>
      <w:r w:rsidRPr="00EC3710">
        <w:rPr>
          <w:rFonts w:ascii="Arial" w:eastAsia="Times New Roman" w:hAnsi="Arial" w:cs="Arial"/>
          <w:color w:val="333333"/>
          <w:sz w:val="20"/>
          <w:szCs w:val="20"/>
          <w:vertAlign w:val="superscript"/>
        </w:rPr>
        <w:t>9</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Permitted Disclosure under </w:t>
      </w:r>
      <w:r w:rsidRPr="00EC3710">
        <w:rPr>
          <w:rFonts w:ascii="Arial" w:eastAsia="Times New Roman" w:hAnsi="Arial" w:cs="Arial"/>
          <w:i/>
          <w:iCs/>
          <w:color w:val="1071A2"/>
          <w:sz w:val="20"/>
          <w:szCs w:val="20"/>
        </w:rPr>
        <w:t>PHIPA</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allows the disclosure of personal health information without patient consent under certain circumstances. Physicians, however, are not prohibited from seeking the patient’s consent. For this reason, the College advises physicians that, whenever possible, they should make every reasonable effort to obtain the patient’s consent before disclosing his or her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following sections address a limited number of situations where disclosure of personal health information is permitted without consent under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w:t>
      </w:r>
      <w:r w:rsidRPr="00EC3710">
        <w:rPr>
          <w:rFonts w:ascii="Arial" w:eastAsia="Times New Roman" w:hAnsi="Arial" w:cs="Arial"/>
          <w:color w:val="333333"/>
          <w:sz w:val="20"/>
          <w:szCs w:val="20"/>
          <w:vertAlign w:val="superscript"/>
        </w:rPr>
        <w:t>10</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for the provision of health care under exceptional circumstances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If the disclosure of personal health information is reasonably necessary for the provision of health care and it is not reasonably possible to obtain the patient’s consent in a timely manner, a physician may disclose the relevant information, unless the patient has expressly instructed the physician otherwise.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lastRenderedPageBreak/>
        <w:t>For example, this type of disclosure allows the physician to perform necessary medical services during emergency situations.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related to risks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A physician may disclose personal health information about an individual if the physician believes, on reasonable grounds, that the disclosure is necessary to eliminate or reduce a significant risk of serious bodily harm to a person or group of persons. The disclosure may be made to police, and in some instances, to the intended victim(s).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Physicians are expected to use their best judgment in these situations; however, physicians are advised to contact the College’s Physician Advisory Service, their lawyer, the CMPA, or the Information and Privacy Commissioner of Ontario whenever they are uncertain whether the disclosure is appropriate. Physicians should also document all activities in the patient’s medical record, and when appropriate, advise the patient of their decision to disclose the relevant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for the purpose of regulating the medical profession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Disclosure of personal health information to the College is permitted for the purposes of administering and enforcing the </w:t>
      </w:r>
      <w:r w:rsidRPr="00EC3710">
        <w:rPr>
          <w:rFonts w:ascii="Arial" w:eastAsia="Times New Roman" w:hAnsi="Arial" w:cs="Arial"/>
          <w:i/>
          <w:iCs/>
          <w:color w:val="333333"/>
          <w:sz w:val="20"/>
          <w:szCs w:val="20"/>
        </w:rPr>
        <w:t>Regulated Health Professions Act, 1991 (RHPA)</w:t>
      </w:r>
      <w:r w:rsidRPr="00EC3710">
        <w:rPr>
          <w:rFonts w:ascii="Arial" w:eastAsia="Times New Roman" w:hAnsi="Arial" w:cs="Arial"/>
          <w:color w:val="333333"/>
          <w:sz w:val="20"/>
          <w:szCs w:val="20"/>
        </w:rPr>
        <w:t>. This includes disclosing personal health information for the purpose of carrying out the regulatory duties in the </w:t>
      </w:r>
      <w:proofErr w:type="gramStart"/>
      <w:r w:rsidRPr="00EC3710">
        <w:rPr>
          <w:rFonts w:ascii="Arial" w:eastAsia="Times New Roman" w:hAnsi="Arial" w:cs="Arial"/>
          <w:i/>
          <w:iCs/>
          <w:color w:val="333333"/>
          <w:sz w:val="20"/>
          <w:szCs w:val="20"/>
        </w:rPr>
        <w:t>RHPA</w:t>
      </w:r>
      <w:r w:rsidRPr="00EC3710">
        <w:rPr>
          <w:rFonts w:ascii="Arial" w:eastAsia="Times New Roman" w:hAnsi="Arial" w:cs="Arial"/>
          <w:color w:val="333333"/>
          <w:sz w:val="20"/>
          <w:szCs w:val="20"/>
        </w:rPr>
        <w:t>(</w:t>
      </w:r>
      <w:proofErr w:type="gramEnd"/>
      <w:r w:rsidRPr="00EC3710">
        <w:rPr>
          <w:rFonts w:ascii="Arial" w:eastAsia="Times New Roman" w:hAnsi="Arial" w:cs="Arial"/>
          <w:color w:val="333333"/>
          <w:sz w:val="20"/>
          <w:szCs w:val="20"/>
        </w:rPr>
        <w:t>i.e., Registrar’s Investigations and Quality Assurance peer assessments).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Required Disclosure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Physicians may be required by law, in a variety of circumstances, to disclose personal health information without the consent of the patient.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Mandatory Reports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Certain statutes have </w:t>
      </w:r>
      <w:hyperlink r:id="rId8" w:tgtFrame="_self" w:history="1">
        <w:r w:rsidRPr="00EC3710">
          <w:rPr>
            <w:rFonts w:ascii="Arial" w:eastAsia="Times New Roman" w:hAnsi="Arial" w:cs="Arial"/>
            <w:color w:val="E47009"/>
            <w:sz w:val="20"/>
            <w:szCs w:val="20"/>
            <w:u w:val="single"/>
          </w:rPr>
          <w:t>Reporting</w:t>
        </w:r>
      </w:hyperlink>
      <w:r w:rsidRPr="00EC3710">
        <w:rPr>
          <w:rFonts w:ascii="Arial" w:eastAsia="Times New Roman" w:hAnsi="Arial" w:cs="Arial"/>
          <w:color w:val="333333"/>
          <w:sz w:val="20"/>
          <w:szCs w:val="20"/>
        </w:rPr>
        <w:t> provisions that may require the physician to provide information about a patient. Examples of legislation requiring mandatory reports include the </w:t>
      </w:r>
      <w:r w:rsidRPr="00EC3710">
        <w:rPr>
          <w:rFonts w:ascii="Arial" w:eastAsia="Times New Roman" w:hAnsi="Arial" w:cs="Arial"/>
          <w:i/>
          <w:iCs/>
          <w:color w:val="333333"/>
          <w:sz w:val="20"/>
          <w:szCs w:val="20"/>
        </w:rPr>
        <w:t>Regulated Health Professions Act, 1991</w:t>
      </w:r>
      <w:r w:rsidRPr="00EC3710">
        <w:rPr>
          <w:rFonts w:ascii="Arial" w:eastAsia="Times New Roman" w:hAnsi="Arial" w:cs="Arial"/>
          <w:color w:val="333333"/>
          <w:sz w:val="20"/>
          <w:szCs w:val="20"/>
        </w:rPr>
        <w:t xml:space="preserve">; </w:t>
      </w:r>
      <w:proofErr w:type="spellStart"/>
      <w:r w:rsidRPr="00EC3710">
        <w:rPr>
          <w:rFonts w:ascii="Arial" w:eastAsia="Times New Roman" w:hAnsi="Arial" w:cs="Arial"/>
          <w:color w:val="333333"/>
          <w:sz w:val="20"/>
          <w:szCs w:val="20"/>
        </w:rPr>
        <w:t>the</w:t>
      </w:r>
      <w:r w:rsidRPr="00EC3710">
        <w:rPr>
          <w:rFonts w:ascii="Arial" w:eastAsia="Times New Roman" w:hAnsi="Arial" w:cs="Arial"/>
          <w:i/>
          <w:iCs/>
          <w:color w:val="333333"/>
          <w:sz w:val="20"/>
          <w:szCs w:val="20"/>
        </w:rPr>
        <w:t>Highway</w:t>
      </w:r>
      <w:proofErr w:type="spellEnd"/>
      <w:r w:rsidRPr="00EC3710">
        <w:rPr>
          <w:rFonts w:ascii="Arial" w:eastAsia="Times New Roman" w:hAnsi="Arial" w:cs="Arial"/>
          <w:i/>
          <w:iCs/>
          <w:color w:val="333333"/>
          <w:sz w:val="20"/>
          <w:szCs w:val="20"/>
        </w:rPr>
        <w:t xml:space="preserve"> Traffic Act</w:t>
      </w:r>
      <w:r w:rsidRPr="00EC3710">
        <w:rPr>
          <w:rFonts w:ascii="Arial" w:eastAsia="Times New Roman" w:hAnsi="Arial" w:cs="Arial"/>
          <w:color w:val="333333"/>
          <w:sz w:val="20"/>
          <w:szCs w:val="20"/>
        </w:rPr>
        <w:t>; the </w:t>
      </w:r>
      <w:r w:rsidRPr="00EC3710">
        <w:rPr>
          <w:rFonts w:ascii="Arial" w:eastAsia="Times New Roman" w:hAnsi="Arial" w:cs="Arial"/>
          <w:i/>
          <w:iCs/>
          <w:color w:val="333333"/>
          <w:sz w:val="20"/>
          <w:szCs w:val="20"/>
        </w:rPr>
        <w:t>Child and Family Services Act</w:t>
      </w:r>
      <w:r w:rsidRPr="00EC3710">
        <w:rPr>
          <w:rFonts w:ascii="Arial" w:eastAsia="Times New Roman" w:hAnsi="Arial" w:cs="Arial"/>
          <w:color w:val="333333"/>
          <w:sz w:val="20"/>
          <w:szCs w:val="20"/>
        </w:rPr>
        <w:t>; the </w:t>
      </w:r>
      <w:r w:rsidRPr="00EC3710">
        <w:rPr>
          <w:rFonts w:ascii="Arial" w:eastAsia="Times New Roman" w:hAnsi="Arial" w:cs="Arial"/>
          <w:i/>
          <w:iCs/>
          <w:color w:val="333333"/>
          <w:sz w:val="20"/>
          <w:szCs w:val="20"/>
        </w:rPr>
        <w:t>Health Protection and Promotion Act</w:t>
      </w:r>
      <w:r w:rsidRPr="00EC3710">
        <w:rPr>
          <w:rFonts w:ascii="Arial" w:eastAsia="Times New Roman" w:hAnsi="Arial" w:cs="Arial"/>
          <w:color w:val="333333"/>
          <w:sz w:val="20"/>
          <w:szCs w:val="20"/>
        </w:rPr>
        <w:t>; the </w:t>
      </w:r>
      <w:r w:rsidRPr="00EC3710">
        <w:rPr>
          <w:rFonts w:ascii="Arial" w:eastAsia="Times New Roman" w:hAnsi="Arial" w:cs="Arial"/>
          <w:i/>
          <w:iCs/>
          <w:color w:val="333333"/>
          <w:sz w:val="20"/>
          <w:szCs w:val="20"/>
        </w:rPr>
        <w:t>Aeronautics Act</w:t>
      </w:r>
      <w:r w:rsidRPr="00EC3710">
        <w:rPr>
          <w:rFonts w:ascii="Arial" w:eastAsia="Times New Roman" w:hAnsi="Arial" w:cs="Arial"/>
          <w:color w:val="333333"/>
          <w:sz w:val="20"/>
          <w:szCs w:val="20"/>
        </w:rPr>
        <w:t>; the </w:t>
      </w:r>
      <w:r w:rsidRPr="00EC3710">
        <w:rPr>
          <w:rFonts w:ascii="Arial" w:eastAsia="Times New Roman" w:hAnsi="Arial" w:cs="Arial"/>
          <w:i/>
          <w:iCs/>
          <w:color w:val="333333"/>
          <w:sz w:val="20"/>
          <w:szCs w:val="20"/>
        </w:rPr>
        <w:t>Coroners Act</w:t>
      </w:r>
      <w:r w:rsidRPr="00EC3710">
        <w:rPr>
          <w:rFonts w:ascii="Arial" w:eastAsia="Times New Roman" w:hAnsi="Arial" w:cs="Arial"/>
          <w:color w:val="333333"/>
          <w:sz w:val="20"/>
          <w:szCs w:val="20"/>
        </w:rPr>
        <w:t> and the </w:t>
      </w:r>
      <w:r w:rsidRPr="00EC3710">
        <w:rPr>
          <w:rFonts w:ascii="Arial" w:eastAsia="Times New Roman" w:hAnsi="Arial" w:cs="Arial"/>
          <w:i/>
          <w:iCs/>
          <w:color w:val="333333"/>
          <w:sz w:val="20"/>
          <w:szCs w:val="20"/>
        </w:rPr>
        <w:t>Health Professions Procedural Code</w:t>
      </w:r>
      <w:r w:rsidRPr="00EC3710">
        <w:rPr>
          <w:rFonts w:ascii="Arial" w:eastAsia="Times New Roman" w:hAnsi="Arial" w:cs="Arial"/>
          <w:color w:val="333333"/>
          <w:sz w:val="20"/>
          <w:szCs w:val="20"/>
        </w:rPr>
        <w:t> (See College policy on </w:t>
      </w:r>
      <w:hyperlink r:id="rId9" w:tooltip="Mandatory Reporting" w:history="1">
        <w:r w:rsidRPr="00EC3710">
          <w:rPr>
            <w:rFonts w:ascii="Arial" w:eastAsia="Times New Roman" w:hAnsi="Arial" w:cs="Arial"/>
            <w:color w:val="1071A2"/>
            <w:sz w:val="20"/>
            <w:szCs w:val="20"/>
            <w:u w:val="single"/>
          </w:rPr>
          <w:t>Mandatory Reporting</w:t>
        </w:r>
      </w:hyperlink>
      <w:r w:rsidRPr="00EC3710">
        <w:rPr>
          <w:rFonts w:ascii="Arial" w:eastAsia="Times New Roman" w:hAnsi="Arial" w:cs="Arial"/>
          <w:color w:val="333333"/>
          <w:sz w:val="20"/>
          <w:szCs w:val="20"/>
        </w:rPr>
        <w: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Monitoring of Claims for Payment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In circumstances where the Ministry of Health and Long-Term Care is monitoring or verifying claims for payment for health care, or for goods used for health care that are funded wholly or in part by the Ministry, the physician must provide the patient’s personal health information to the Minister, upon his or her request.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Summonses, Subpoenas and Court Orders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In the course of litigation, physicians may be required by a summons, subpoena or a court order to disclose a patient’s personal health information and patient records. The physician should read the summons, subpoena or court order carefully and not do more than it requires. For example, a summons may require a physician to attend a court at a particular time and to take a specific patient chart. The summons does not authorize the physician to discuss the patient’s care with, or show the record to, anyone in advance of the court appearance.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Reports under the </w:t>
      </w:r>
      <w:r w:rsidRPr="00EC3710">
        <w:rPr>
          <w:rFonts w:ascii="Arial" w:eastAsia="Times New Roman" w:hAnsi="Arial" w:cs="Arial"/>
          <w:b/>
          <w:bCs/>
          <w:i/>
          <w:iCs/>
          <w:color w:val="333333"/>
          <w:sz w:val="20"/>
          <w:szCs w:val="20"/>
        </w:rPr>
        <w:t>Workplace Safety and Insurance Act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Under the </w:t>
      </w:r>
      <w:r w:rsidRPr="00EC3710">
        <w:rPr>
          <w:rFonts w:ascii="Arial" w:eastAsia="Times New Roman" w:hAnsi="Arial" w:cs="Arial"/>
          <w:i/>
          <w:iCs/>
          <w:color w:val="333333"/>
          <w:sz w:val="20"/>
          <w:szCs w:val="20"/>
        </w:rPr>
        <w:t>Workplace Safety and Insurance Act</w:t>
      </w:r>
      <w:r w:rsidRPr="00EC3710">
        <w:rPr>
          <w:rFonts w:ascii="Arial" w:eastAsia="Times New Roman" w:hAnsi="Arial" w:cs="Arial"/>
          <w:color w:val="333333"/>
          <w:sz w:val="20"/>
          <w:szCs w:val="20"/>
        </w:rPr>
        <w:t xml:space="preserve">, a physician who is providing health care to a worker claiming benefits under the workplace’s insurance plan must promptly give the Workplace Safety and Insurance Board (WSIB) the relevant personal health information that the </w:t>
      </w:r>
      <w:proofErr w:type="spellStart"/>
      <w:r w:rsidRPr="00EC3710">
        <w:rPr>
          <w:rFonts w:ascii="Arial" w:eastAsia="Times New Roman" w:hAnsi="Arial" w:cs="Arial"/>
          <w:color w:val="333333"/>
          <w:sz w:val="20"/>
          <w:szCs w:val="20"/>
        </w:rPr>
        <w:t>WSIBmay</w:t>
      </w:r>
      <w:proofErr w:type="spellEnd"/>
      <w:r w:rsidRPr="00EC3710">
        <w:rPr>
          <w:rFonts w:ascii="Arial" w:eastAsia="Times New Roman" w:hAnsi="Arial" w:cs="Arial"/>
          <w:color w:val="333333"/>
          <w:sz w:val="20"/>
          <w:szCs w:val="20"/>
        </w:rPr>
        <w:t xml:space="preserve"> require or that the </w:t>
      </w:r>
      <w:r w:rsidRPr="00EC3710">
        <w:rPr>
          <w:rFonts w:ascii="Arial" w:eastAsia="Times New Roman" w:hAnsi="Arial" w:cs="Arial"/>
          <w:color w:val="333333"/>
          <w:sz w:val="20"/>
          <w:szCs w:val="20"/>
        </w:rPr>
        <w:lastRenderedPageBreak/>
        <w:t>patient requests that the physician provide to the WSIB.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xml:space="preserve"> permits the physician to report the required information to the </w:t>
      </w:r>
      <w:proofErr w:type="spellStart"/>
      <w:r w:rsidRPr="00EC3710">
        <w:rPr>
          <w:rFonts w:ascii="Arial" w:eastAsia="Times New Roman" w:hAnsi="Arial" w:cs="Arial"/>
          <w:color w:val="333333"/>
          <w:sz w:val="20"/>
          <w:szCs w:val="20"/>
        </w:rPr>
        <w:t>WSIBand</w:t>
      </w:r>
      <w:proofErr w:type="spellEnd"/>
      <w:r w:rsidRPr="00EC3710">
        <w:rPr>
          <w:rFonts w:ascii="Arial" w:eastAsia="Times New Roman" w:hAnsi="Arial" w:cs="Arial"/>
          <w:color w:val="333333"/>
          <w:sz w:val="20"/>
          <w:szCs w:val="20"/>
        </w:rPr>
        <w:t>/or the employer, without the patient’s consent.</w:t>
      </w:r>
      <w:r w:rsidRPr="00EC3710">
        <w:rPr>
          <w:rFonts w:ascii="Arial" w:eastAsia="Times New Roman" w:hAnsi="Arial" w:cs="Arial"/>
          <w:color w:val="333333"/>
          <w:sz w:val="20"/>
          <w:szCs w:val="20"/>
          <w:vertAlign w:val="superscript"/>
        </w:rPr>
        <w:t>11</w:t>
      </w:r>
      <w:r w:rsidRPr="00EC3710">
        <w:rPr>
          <w:rFonts w:ascii="Arial" w:eastAsia="Times New Roman" w:hAnsi="Arial" w:cs="Arial"/>
          <w:color w:val="333333"/>
          <w:sz w:val="20"/>
          <w:szCs w:val="20"/>
        </w:rPr>
        <w:t> If, however, the physician takes the position that the patient ought to be aware that his or her personal health information is being provided to the WSIB and/or the employer, the physician ought to notify his or her patient of that fact.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Professional Expectations Regarding Disclosure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Physicians are expected to act in accordance with all legal requirements, but must also use their best judgment to </w:t>
      </w:r>
      <w:proofErr w:type="spellStart"/>
      <w:r w:rsidRPr="00EC3710">
        <w:rPr>
          <w:rFonts w:ascii="Arial" w:eastAsia="Times New Roman" w:hAnsi="Arial" w:cs="Arial"/>
          <w:color w:val="333333"/>
          <w:sz w:val="20"/>
          <w:szCs w:val="20"/>
        </w:rPr>
        <w:t>practise</w:t>
      </w:r>
      <w:proofErr w:type="spellEnd"/>
      <w:r w:rsidRPr="00EC3710">
        <w:rPr>
          <w:rFonts w:ascii="Arial" w:eastAsia="Times New Roman" w:hAnsi="Arial" w:cs="Arial"/>
          <w:color w:val="333333"/>
          <w:sz w:val="20"/>
          <w:szCs w:val="20"/>
        </w:rPr>
        <w:t xml:space="preserve"> medicine in a safe and humane manner.</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with respect to incapacity</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When physicians have reasonable grounds to believe that another physician or health care professional is incapacitated</w:t>
      </w:r>
      <w:proofErr w:type="gramStart"/>
      <w:r w:rsidRPr="00EC3710">
        <w:rPr>
          <w:rFonts w:ascii="Arial" w:eastAsia="Times New Roman" w:hAnsi="Arial" w:cs="Arial"/>
          <w:color w:val="333333"/>
          <w:sz w:val="20"/>
          <w:szCs w:val="20"/>
        </w:rPr>
        <w:t>,</w:t>
      </w:r>
      <w:r w:rsidRPr="00EC3710">
        <w:rPr>
          <w:rFonts w:ascii="Arial" w:eastAsia="Times New Roman" w:hAnsi="Arial" w:cs="Arial"/>
          <w:color w:val="333333"/>
          <w:sz w:val="20"/>
          <w:szCs w:val="20"/>
          <w:vertAlign w:val="superscript"/>
        </w:rPr>
        <w:t>12</w:t>
      </w:r>
      <w:proofErr w:type="gramEnd"/>
      <w:r w:rsidRPr="00EC3710">
        <w:rPr>
          <w:rFonts w:ascii="Arial" w:eastAsia="Times New Roman" w:hAnsi="Arial" w:cs="Arial"/>
          <w:color w:val="333333"/>
          <w:sz w:val="20"/>
          <w:szCs w:val="20"/>
          <w:vertAlign w:val="superscript"/>
        </w:rPr>
        <w:t> </w:t>
      </w:r>
      <w:r w:rsidRPr="00EC3710">
        <w:rPr>
          <w:rFonts w:ascii="Arial" w:eastAsia="Times New Roman" w:hAnsi="Arial" w:cs="Arial"/>
          <w:color w:val="333333"/>
          <w:sz w:val="20"/>
          <w:szCs w:val="20"/>
        </w:rPr>
        <w:t>the College expects physicians to behave ethically and in the public interest by taking appropriate action.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Appropriate action may include, depending on the circumstances, contacting the Physician Health Program at the Ontario Medical Association, the Registrar of the CPSO or other relevant regulatory colleges, or the individual’s friends and family. Since this action will likely require physicians to disclose the individual’s personal health information, physicians are advised to exercise caution and ensure that they uphold their obligations under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Where disclosures are necessary to reduce or eliminate a significant risk of serious bodily harm to a person or a group of </w:t>
      </w:r>
      <w:proofErr w:type="gramStart"/>
      <w:r w:rsidRPr="00EC3710">
        <w:rPr>
          <w:rFonts w:ascii="Arial" w:eastAsia="Times New Roman" w:hAnsi="Arial" w:cs="Arial"/>
          <w:color w:val="333333"/>
          <w:sz w:val="20"/>
          <w:szCs w:val="20"/>
        </w:rPr>
        <w:t>persons,</w:t>
      </w:r>
      <w:proofErr w:type="gramEnd"/>
      <w:r w:rsidRPr="00EC3710">
        <w:rPr>
          <w:rFonts w:ascii="Arial" w:eastAsia="Times New Roman" w:hAnsi="Arial" w:cs="Arial"/>
          <w:color w:val="333333"/>
          <w:sz w:val="20"/>
          <w:szCs w:val="20"/>
        </w:rPr>
        <w:t xml:space="preserve"> or for the provision of care, physicians may be able to disclose the individual’s personal health information without contravening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In addition, physicians may be permitted to disclose information to relatives or friends of the incapacitated individual in order to obtain consent for treatment.</w:t>
      </w:r>
      <w:r w:rsidRPr="00EC3710">
        <w:rPr>
          <w:rFonts w:ascii="Arial" w:eastAsia="Times New Roman" w:hAnsi="Arial" w:cs="Arial"/>
          <w:color w:val="333333"/>
          <w:sz w:val="20"/>
          <w:szCs w:val="20"/>
          <w:vertAlign w:val="superscript"/>
        </w:rPr>
        <w:t>13</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Physicians carry this ethical obligation to take action irrespective of whether there is a physician-patient relationship with the incapacitated physician or health care professional. Physicians may wish to contact their legal counsel or the CMPA for guidance in these situations.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to a Family Member or Friend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Situations may arise where physicians are asked by a family member or friend about the condition of a patient. Patients are permitted to restrict the disclosure of such information. For this reason, physicians will be required to obtain express consent from the patient before they are able to disclose the patient’s personal health information. Where the patient is not capable to provide the required consent, physicians must seek consent from the patient’s substitute decision-maker.</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College, however, recognizes that there may be situations where it will not be possible to obtain consent from the patient or the substitute decision-maker. In this situation, the College advises physicians to exercise caution and to use their best judgment when providing information. Discussions with friends and family ought to be limited to basic information about the patient’s general state of health.</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Other Topics Related to Disclosure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to Custodial and/or Access Parents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There may be instances when a physician receives a request to disclose personal health information to a patient’s parents or a third party where the parents have separated or divorced. If the child-patient has the capacity to provide consent, the physician must first seek the consent of the patient before any disclosure is made.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lastRenderedPageBreak/>
        <w:t>In dealing with requests from parents to disclose information to the parent or a third party, physicians should be aware that, under provincial legislation, there are different rights for the custodial parent and the non-custodial/access parent. The law, a court order or the terms of a separation agreement may prevent one of the parents from making decisions with respect to the personal health information about their child. Physicians are advised to act with sensitivity and request a copy of the applicable separation agreement or court order prior to releasing any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When releasing a child’s medical record or disclosing the information in the record, physicians should exclude any reference or information pertaining to other family members and/or third parties. In addition, physicians are encouraged to keep copies of relevant agreements or court orders in the patient’s medical record.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Disclosure to Police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It is not mandatory for physicians to provide confidential material to the police in the absence of a legal obligation. At these times, the general rules regarding consent and disclosure apply, meaning that express consent, either from the patient directly, or the substitute decision-maker, will be required before the police are provided with personal health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When personal health information is disclosed to the police, physicians are encouraged to record the officer’s name and badge number, the request for information, the information provided, and the authority for the disclosure (e.g., consent, </w:t>
      </w:r>
      <w:hyperlink r:id="rId10" w:tgtFrame="_self" w:history="1">
        <w:r w:rsidRPr="00EC3710">
          <w:rPr>
            <w:rFonts w:ascii="Arial" w:eastAsia="Times New Roman" w:hAnsi="Arial" w:cs="Arial"/>
            <w:color w:val="E47009"/>
            <w:sz w:val="20"/>
            <w:szCs w:val="20"/>
            <w:u w:val="single"/>
          </w:rPr>
          <w:t>Reporting</w:t>
        </w:r>
      </w:hyperlink>
      <w:r w:rsidRPr="00EC3710">
        <w:rPr>
          <w:rFonts w:ascii="Arial" w:eastAsia="Times New Roman" w:hAnsi="Arial" w:cs="Arial"/>
          <w:color w:val="333333"/>
          <w:sz w:val="20"/>
          <w:szCs w:val="20"/>
        </w:rPr>
        <w:t> obligation, search warrant or summons). A photocopy of any search warrant or summons should be included in the patient’s medical record. The police or Crown attorney will usually take the originals but leave the physician with copies of the record so that ongoing care can be given.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Proper information practices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Physicians have always been obligated to keep their patients’ personal health information confidential, however, the introduction of </w:t>
      </w:r>
      <w:r w:rsidRPr="00EC3710">
        <w:rPr>
          <w:rFonts w:ascii="Arial" w:eastAsia="Times New Roman" w:hAnsi="Arial" w:cs="Arial"/>
          <w:i/>
          <w:iCs/>
          <w:color w:val="333333"/>
          <w:sz w:val="20"/>
          <w:szCs w:val="20"/>
        </w:rPr>
        <w:t>PHIPA </w:t>
      </w:r>
      <w:r w:rsidRPr="00EC3710">
        <w:rPr>
          <w:rFonts w:ascii="Arial" w:eastAsia="Times New Roman" w:hAnsi="Arial" w:cs="Arial"/>
          <w:color w:val="333333"/>
          <w:sz w:val="20"/>
          <w:szCs w:val="20"/>
        </w:rPr>
        <w:t>has also imposed a legal obligation on physicians to maintain and comply with information practices that, among other things, keep their patients’ personal health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 </w:t>
      </w:r>
      <w:proofErr w:type="gramStart"/>
      <w:r w:rsidRPr="00EC3710">
        <w:rPr>
          <w:rFonts w:ascii="Arial" w:eastAsia="Times New Roman" w:hAnsi="Arial" w:cs="Arial"/>
          <w:color w:val="333333"/>
          <w:sz w:val="20"/>
          <w:szCs w:val="20"/>
        </w:rPr>
        <w:t>accurate</w:t>
      </w:r>
      <w:proofErr w:type="gramEnd"/>
      <w:r w:rsidRPr="00EC3710">
        <w:rPr>
          <w:rFonts w:ascii="Arial" w:eastAsia="Times New Roman" w:hAnsi="Arial" w:cs="Arial"/>
          <w:color w:val="333333"/>
          <w:sz w:val="20"/>
          <w:szCs w:val="20"/>
        </w:rPr>
        <w:t>, current and complete; and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protected against theft, loss or unauthorized use or disclosure.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If personal health information is stolen, lost or accessed by, or disclosed to an unauthorized person, patients must, subject to specific exceptions</w:t>
      </w:r>
      <w:proofErr w:type="gramStart"/>
      <w:r w:rsidRPr="00EC3710">
        <w:rPr>
          <w:rFonts w:ascii="Arial" w:eastAsia="Times New Roman" w:hAnsi="Arial" w:cs="Arial"/>
          <w:color w:val="333333"/>
          <w:sz w:val="20"/>
          <w:szCs w:val="20"/>
        </w:rPr>
        <w:t>,</w:t>
      </w:r>
      <w:r w:rsidRPr="00EC3710">
        <w:rPr>
          <w:rFonts w:ascii="Arial" w:eastAsia="Times New Roman" w:hAnsi="Arial" w:cs="Arial"/>
          <w:color w:val="333333"/>
          <w:sz w:val="20"/>
          <w:szCs w:val="20"/>
          <w:vertAlign w:val="superscript"/>
        </w:rPr>
        <w:t>14</w:t>
      </w:r>
      <w:proofErr w:type="gramEnd"/>
      <w:r w:rsidRPr="00EC3710">
        <w:rPr>
          <w:rFonts w:ascii="Arial" w:eastAsia="Times New Roman" w:hAnsi="Arial" w:cs="Arial"/>
          <w:color w:val="333333"/>
          <w:sz w:val="20"/>
          <w:szCs w:val="20"/>
        </w:rPr>
        <w:t> be notified at the first reasonable opportunity.</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Conversations with, or about, patients in the health care setting</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As a matter of </w:t>
      </w:r>
      <w:proofErr w:type="spellStart"/>
      <w:r w:rsidRPr="00EC3710">
        <w:rPr>
          <w:rFonts w:ascii="Arial" w:eastAsia="Times New Roman" w:hAnsi="Arial" w:cs="Arial"/>
          <w:color w:val="333333"/>
          <w:sz w:val="20"/>
          <w:szCs w:val="20"/>
        </w:rPr>
        <w:t>practising</w:t>
      </w:r>
      <w:proofErr w:type="spellEnd"/>
      <w:r w:rsidRPr="00EC3710">
        <w:rPr>
          <w:rFonts w:ascii="Arial" w:eastAsia="Times New Roman" w:hAnsi="Arial" w:cs="Arial"/>
          <w:color w:val="333333"/>
          <w:sz w:val="20"/>
          <w:szCs w:val="20"/>
        </w:rPr>
        <w:t xml:space="preserve"> medicine, physicians are required to ask many questions and/or discuss personal health matters with patients, other physicians/health care professionals and/or office/hospital staff. For this reason, it is essential that physicians and all staff take every precaution to ensure that conversations regarding patient information are not inadvertently overheard by others. Extra sensitivity is required by physicians and staff when discussing patient matters, either on the telephone or in person within hearing distance of others. For example, physicians should be cautious if discussing matters of personal health with patients in emergency room areas, or if a conversation is taking place with staff close to a reception area.</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Technology</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 xml:space="preserve">Technology has provided physicians and patients alike with a more efficient way of maintaining and communicating personal health information. There are, however, several ways in which a physician using modern technology may inadvertently breach patient confidentiality, for example: wireless network </w:t>
      </w:r>
      <w:r w:rsidRPr="00EC3710">
        <w:rPr>
          <w:rFonts w:ascii="Arial" w:eastAsia="Times New Roman" w:hAnsi="Arial" w:cs="Arial"/>
          <w:color w:val="333333"/>
          <w:sz w:val="20"/>
          <w:szCs w:val="20"/>
        </w:rPr>
        <w:lastRenderedPageBreak/>
        <w:t>connections can pose </w:t>
      </w:r>
      <w:hyperlink r:id="rId11" w:tgtFrame="_self" w:history="1">
        <w:r w:rsidRPr="00EC3710">
          <w:rPr>
            <w:rFonts w:ascii="Arial" w:eastAsia="Times New Roman" w:hAnsi="Arial" w:cs="Arial"/>
            <w:color w:val="E47009"/>
            <w:sz w:val="20"/>
            <w:szCs w:val="20"/>
            <w:u w:val="single"/>
          </w:rPr>
          <w:t>Security </w:t>
        </w:r>
      </w:hyperlink>
      <w:r w:rsidRPr="00EC3710">
        <w:rPr>
          <w:rFonts w:ascii="Arial" w:eastAsia="Times New Roman" w:hAnsi="Arial" w:cs="Arial"/>
          <w:color w:val="333333"/>
          <w:sz w:val="20"/>
          <w:szCs w:val="20"/>
        </w:rPr>
        <w:t>problems; e-mails can be inadvertently sent to the wrong recipient; inappropriate readers may access computer files and erased hard drives may contain private information. The College encourages physicians to capitalize on the advantages that electronic record-keeping and other technological advances have to offer, however, it is always the responsibility of the physician to ensure that appropriate </w:t>
      </w:r>
      <w:hyperlink r:id="rId12" w:tgtFrame="_self" w:history="1">
        <w:r w:rsidRPr="00EC3710">
          <w:rPr>
            <w:rFonts w:ascii="Arial" w:eastAsia="Times New Roman" w:hAnsi="Arial" w:cs="Arial"/>
            <w:color w:val="E47009"/>
            <w:sz w:val="20"/>
            <w:szCs w:val="20"/>
            <w:u w:val="single"/>
          </w:rPr>
          <w:t>Security </w:t>
        </w:r>
      </w:hyperlink>
      <w:r w:rsidRPr="00EC3710">
        <w:rPr>
          <w:rFonts w:ascii="Arial" w:eastAsia="Times New Roman" w:hAnsi="Arial" w:cs="Arial"/>
          <w:color w:val="333333"/>
          <w:sz w:val="20"/>
          <w:szCs w:val="20"/>
        </w:rPr>
        <w:t>provisions have been made.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The College strongly advises that physicians obtain patient consent to use electronic means for communicating personal health information. As part of obtaining consent, physicians must explain to patients the inherent risks of using this form of communication. As a way of recording the patient’s express consent, the CMPA has provided a written consent form that can be used whenever possible. Completed consent </w:t>
      </w:r>
      <w:hyperlink r:id="rId13" w:tgtFrame="_self" w:history="1">
        <w:r w:rsidRPr="00EC3710">
          <w:rPr>
            <w:rFonts w:ascii="Arial" w:eastAsia="Times New Roman" w:hAnsi="Arial" w:cs="Arial"/>
            <w:color w:val="E47009"/>
            <w:sz w:val="20"/>
            <w:szCs w:val="20"/>
            <w:u w:val="single"/>
          </w:rPr>
          <w:t>Forms</w:t>
        </w:r>
      </w:hyperlink>
      <w:r w:rsidRPr="00EC3710">
        <w:rPr>
          <w:rFonts w:ascii="Arial" w:eastAsia="Times New Roman" w:hAnsi="Arial" w:cs="Arial"/>
          <w:color w:val="333333"/>
          <w:sz w:val="20"/>
          <w:szCs w:val="20"/>
        </w:rPr>
        <w:t> should be included in the patient’s medical record.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b/>
          <w:bCs/>
          <w:color w:val="333333"/>
          <w:sz w:val="20"/>
          <w:szCs w:val="20"/>
        </w:rPr>
        <w:t>Voice messaging</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Physicians may sometimes wish to communicate with patients by telephone; and should confirm and obtain consent to use this method of communication with patients.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On certain occasions, it may be necessary to leave a voice message on a machine or with a third party. Physicians should be aware that when leaving voice messages for patients, more than one person in a home or an office may access messages. For this reason, physicians are advised to exercise caution regarding the content of any messages left for patients. While it is acceptable for messages to contain the name and contact information of the physician or the physician’s office, the College advises that messages should not contain any personal health information of the patient, such as details about the patient’s medical condition, test results or other personal matters.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1071A2"/>
          <w:sz w:val="20"/>
          <w:szCs w:val="20"/>
        </w:rPr>
        <w:t>Professional Misconduct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rPr>
        <w:t>Under the regulations to the </w:t>
      </w:r>
      <w:r w:rsidRPr="00EC3710">
        <w:rPr>
          <w:rFonts w:ascii="Arial" w:eastAsia="Times New Roman" w:hAnsi="Arial" w:cs="Arial"/>
          <w:i/>
          <w:iCs/>
          <w:color w:val="333333"/>
          <w:sz w:val="20"/>
          <w:szCs w:val="20"/>
        </w:rPr>
        <w:t>Medicine Act, 1991</w:t>
      </w:r>
      <w:r w:rsidRPr="00EC3710">
        <w:rPr>
          <w:rFonts w:ascii="Arial" w:eastAsia="Times New Roman" w:hAnsi="Arial" w:cs="Arial"/>
          <w:color w:val="333333"/>
          <w:sz w:val="20"/>
          <w:szCs w:val="20"/>
        </w:rPr>
        <w:t>, it is an act of professional misconduct for a physician to:</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i/>
          <w:iCs/>
          <w:color w:val="2A79A1"/>
          <w:sz w:val="20"/>
          <w:szCs w:val="20"/>
        </w:rPr>
        <w:t>“[give] information concerning the condition of a patient or any services rendered to a patient to a person other than the patient or his or her authorized representative except with the consent of the patient or his or her authorized representative or as required by law.”</w:t>
      </w:r>
      <w:r w:rsidRPr="00EC3710">
        <w:rPr>
          <w:rFonts w:ascii="Arial" w:eastAsia="Times New Roman" w:hAnsi="Arial" w:cs="Arial"/>
          <w:color w:val="2A79A1"/>
          <w:sz w:val="20"/>
          <w:szCs w:val="20"/>
        </w:rPr>
        <w:t> </w:t>
      </w:r>
      <w:r w:rsidRPr="00EC3710">
        <w:rPr>
          <w:rFonts w:ascii="Arial" w:eastAsia="Times New Roman" w:hAnsi="Arial" w:cs="Arial"/>
          <w:color w:val="2A79A1"/>
          <w:sz w:val="20"/>
          <w:szCs w:val="20"/>
          <w:vertAlign w:val="superscript"/>
        </w:rPr>
        <w:t>15</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85AD5C"/>
          <w:sz w:val="20"/>
          <w:szCs w:val="20"/>
        </w:rPr>
        <w:t>Endnotes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proofErr w:type="gramStart"/>
      <w:r w:rsidRPr="00EC3710">
        <w:rPr>
          <w:rFonts w:ascii="Arial" w:eastAsia="Times New Roman" w:hAnsi="Arial" w:cs="Arial"/>
          <w:color w:val="333333"/>
          <w:sz w:val="20"/>
          <w:szCs w:val="20"/>
          <w:vertAlign w:val="superscript"/>
        </w:rPr>
        <w:t>1</w:t>
      </w:r>
      <w:r w:rsidRPr="00EC3710">
        <w:rPr>
          <w:rFonts w:ascii="Arial" w:eastAsia="Times New Roman" w:hAnsi="Arial" w:cs="Arial"/>
          <w:color w:val="333333"/>
          <w:sz w:val="20"/>
          <w:szCs w:val="20"/>
        </w:rPr>
        <w:t>S.O. 2004, c. 3 Sched.</w:t>
      </w:r>
      <w:proofErr w:type="gramEnd"/>
      <w:r w:rsidRPr="00EC3710">
        <w:rPr>
          <w:rFonts w:ascii="Arial" w:eastAsia="Times New Roman" w:hAnsi="Arial" w:cs="Arial"/>
          <w:color w:val="333333"/>
          <w:sz w:val="20"/>
          <w:szCs w:val="20"/>
        </w:rPr>
        <w:t xml:space="preserve"> A. In force as of November 1, 2004.</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2</w:t>
      </w:r>
      <w:r w:rsidRPr="00EC3710">
        <w:rPr>
          <w:rFonts w:ascii="Arial" w:eastAsia="Times New Roman" w:hAnsi="Arial" w:cs="Arial"/>
          <w:color w:val="333333"/>
          <w:sz w:val="20"/>
          <w:szCs w:val="20"/>
        </w:rPr>
        <w:t>The majority of physicians in Ontario have liability coverage with the CMPA. Any physician with liability coverage from another provider is advised to contact that provider if uncertainty arises regarding the confidentiality of patient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3</w:t>
      </w:r>
      <w:r w:rsidRPr="00EC3710">
        <w:rPr>
          <w:rFonts w:ascii="Arial" w:eastAsia="Times New Roman" w:hAnsi="Arial" w:cs="Arial"/>
          <w:color w:val="333333"/>
          <w:sz w:val="20"/>
          <w:szCs w:val="20"/>
        </w:rPr>
        <w:t>Please refer to section 4 of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which sets out the exceptions to “personal health information.”</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proofErr w:type="gramStart"/>
      <w:r w:rsidRPr="00EC3710">
        <w:rPr>
          <w:rFonts w:ascii="Arial" w:eastAsia="Times New Roman" w:hAnsi="Arial" w:cs="Arial"/>
          <w:color w:val="333333"/>
          <w:sz w:val="20"/>
          <w:szCs w:val="20"/>
          <w:vertAlign w:val="superscript"/>
        </w:rPr>
        <w:t>4</w:t>
      </w:r>
      <w:r w:rsidRPr="00EC3710">
        <w:rPr>
          <w:rFonts w:ascii="Arial" w:eastAsia="Times New Roman" w:hAnsi="Arial" w:cs="Arial"/>
          <w:color w:val="333333"/>
          <w:sz w:val="20"/>
          <w:szCs w:val="20"/>
        </w:rPr>
        <w:t>Refer to section heading ‘Professional Misconduct’ for direction.</w:t>
      </w:r>
      <w:proofErr w:type="gramEnd"/>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5</w:t>
      </w:r>
      <w:r w:rsidRPr="00EC3710">
        <w:rPr>
          <w:rFonts w:ascii="Arial" w:eastAsia="Times New Roman" w:hAnsi="Arial" w:cs="Arial"/>
          <w:color w:val="333333"/>
          <w:sz w:val="20"/>
          <w:szCs w:val="20"/>
        </w:rPr>
        <w:t>In this policy, the provisions in </w:t>
      </w:r>
      <w:r w:rsidRPr="00EC3710">
        <w:rPr>
          <w:rFonts w:ascii="Arial" w:eastAsia="Times New Roman" w:hAnsi="Arial" w:cs="Arial"/>
          <w:i/>
          <w:iCs/>
          <w:color w:val="333333"/>
          <w:sz w:val="20"/>
          <w:szCs w:val="20"/>
        </w:rPr>
        <w:t>PHIPA </w:t>
      </w:r>
      <w:r w:rsidRPr="00EC3710">
        <w:rPr>
          <w:rFonts w:ascii="Arial" w:eastAsia="Times New Roman" w:hAnsi="Arial" w:cs="Arial"/>
          <w:color w:val="333333"/>
          <w:sz w:val="20"/>
          <w:szCs w:val="20"/>
        </w:rPr>
        <w:t>should be considered as they apply to physicians.</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6</w:t>
      </w:r>
      <w:r w:rsidRPr="00EC3710">
        <w:rPr>
          <w:rFonts w:ascii="Arial" w:eastAsia="Times New Roman" w:hAnsi="Arial" w:cs="Arial"/>
          <w:color w:val="333333"/>
          <w:sz w:val="20"/>
          <w:szCs w:val="20"/>
        </w:rPr>
        <w:t>Under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whether explicit or implicit, consent must: (</w:t>
      </w:r>
      <w:proofErr w:type="spellStart"/>
      <w:r w:rsidRPr="00EC3710">
        <w:rPr>
          <w:rFonts w:ascii="Arial" w:eastAsia="Times New Roman" w:hAnsi="Arial" w:cs="Arial"/>
          <w:color w:val="333333"/>
          <w:sz w:val="20"/>
          <w:szCs w:val="20"/>
        </w:rPr>
        <w:t>i</w:t>
      </w:r>
      <w:proofErr w:type="spellEnd"/>
      <w:r w:rsidRPr="00EC3710">
        <w:rPr>
          <w:rFonts w:ascii="Arial" w:eastAsia="Times New Roman" w:hAnsi="Arial" w:cs="Arial"/>
          <w:color w:val="333333"/>
          <w:sz w:val="20"/>
          <w:szCs w:val="20"/>
        </w:rPr>
        <w:t xml:space="preserve">) be that of the individual; (ii) be knowledgeable; (iii) relate to the information at issue; and </w:t>
      </w:r>
      <w:proofErr w:type="gramStart"/>
      <w:r w:rsidRPr="00EC3710">
        <w:rPr>
          <w:rFonts w:ascii="Arial" w:eastAsia="Times New Roman" w:hAnsi="Arial" w:cs="Arial"/>
          <w:color w:val="333333"/>
          <w:sz w:val="20"/>
          <w:szCs w:val="20"/>
        </w:rPr>
        <w:t>(iv) not</w:t>
      </w:r>
      <w:proofErr w:type="gramEnd"/>
      <w:r w:rsidRPr="00EC3710">
        <w:rPr>
          <w:rFonts w:ascii="Arial" w:eastAsia="Times New Roman" w:hAnsi="Arial" w:cs="Arial"/>
          <w:color w:val="333333"/>
          <w:sz w:val="20"/>
          <w:szCs w:val="20"/>
        </w:rPr>
        <w:t xml:space="preserve"> be obtained through deception or coercion. Where applicable, the substitute decision-maker or authorized representative may provide consent on behalf of the individual.</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7</w:t>
      </w:r>
      <w:r w:rsidRPr="00EC3710">
        <w:rPr>
          <w:rFonts w:ascii="Arial" w:eastAsia="Times New Roman" w:hAnsi="Arial" w:cs="Arial"/>
          <w:color w:val="333333"/>
          <w:sz w:val="20"/>
          <w:szCs w:val="20"/>
        </w:rPr>
        <w:t>The patient is not able to withhold or withdraw his or her consent when the disclosure of personal health information is required by law (See section on ‘Required Disclosure’).</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8</w:t>
      </w:r>
      <w:r w:rsidRPr="00EC3710">
        <w:rPr>
          <w:rFonts w:ascii="Arial" w:eastAsia="Times New Roman" w:hAnsi="Arial" w:cs="Arial"/>
          <w:i/>
          <w:iCs/>
          <w:color w:val="333333"/>
          <w:sz w:val="20"/>
          <w:szCs w:val="20"/>
        </w:rPr>
        <w:t>PHIPA </w:t>
      </w:r>
      <w:r w:rsidRPr="00EC3710">
        <w:rPr>
          <w:rFonts w:ascii="Arial" w:eastAsia="Times New Roman" w:hAnsi="Arial" w:cs="Arial"/>
          <w:color w:val="333333"/>
          <w:sz w:val="20"/>
          <w:szCs w:val="20"/>
        </w:rPr>
        <w:t xml:space="preserve">does not define “circle of care,” </w:t>
      </w:r>
      <w:proofErr w:type="gramStart"/>
      <w:r w:rsidRPr="00EC3710">
        <w:rPr>
          <w:rFonts w:ascii="Arial" w:eastAsia="Times New Roman" w:hAnsi="Arial" w:cs="Arial"/>
          <w:color w:val="333333"/>
          <w:sz w:val="20"/>
          <w:szCs w:val="20"/>
        </w:rPr>
        <w:t>however,</w:t>
      </w:r>
      <w:proofErr w:type="gramEnd"/>
      <w:r w:rsidRPr="00EC3710">
        <w:rPr>
          <w:rFonts w:ascii="Arial" w:eastAsia="Times New Roman" w:hAnsi="Arial" w:cs="Arial"/>
          <w:color w:val="333333"/>
          <w:sz w:val="20"/>
          <w:szCs w:val="20"/>
        </w:rPr>
        <w:t xml:space="preserve"> the term refers to those in the health care team who are involved in the care or treatment of a particular patient. For example, it describes health care </w:t>
      </w:r>
      <w:r w:rsidRPr="00EC3710">
        <w:rPr>
          <w:rFonts w:ascii="Arial" w:eastAsia="Times New Roman" w:hAnsi="Arial" w:cs="Arial"/>
          <w:color w:val="333333"/>
          <w:sz w:val="20"/>
          <w:szCs w:val="20"/>
        </w:rPr>
        <w:lastRenderedPageBreak/>
        <w:t>practitioners, public or private hospitals, pharmacies, laboratories, ambulance services, community care access corporations. This definition of “circle of care” is supported by the: Ontario Hospital Association, Ontario Hospital eHealth Council, Ontario Medical Association; and the Office of the Information and Privacy Commissioner of Ontario.</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9</w:t>
      </w:r>
      <w:r w:rsidRPr="00EC3710">
        <w:rPr>
          <w:rFonts w:ascii="Arial" w:eastAsia="Times New Roman" w:hAnsi="Arial" w:cs="Arial"/>
          <w:color w:val="333333"/>
          <w:sz w:val="20"/>
          <w:szCs w:val="20"/>
        </w:rPr>
        <w:t>This statement refers to the provisions in </w:t>
      </w:r>
      <w:r w:rsidRPr="00EC3710">
        <w:rPr>
          <w:rFonts w:ascii="Arial" w:eastAsia="Times New Roman" w:hAnsi="Arial" w:cs="Arial"/>
          <w:i/>
          <w:iCs/>
          <w:color w:val="333333"/>
          <w:sz w:val="20"/>
          <w:szCs w:val="20"/>
        </w:rPr>
        <w:t>PHIPA </w:t>
      </w:r>
      <w:r w:rsidRPr="00EC3710">
        <w:rPr>
          <w:rFonts w:ascii="Arial" w:eastAsia="Times New Roman" w:hAnsi="Arial" w:cs="Arial"/>
          <w:color w:val="333333"/>
          <w:sz w:val="20"/>
          <w:szCs w:val="20"/>
        </w:rPr>
        <w:t>where a physician is permitted or required to disclose personal health information without the patient’s consent.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10</w:t>
      </w:r>
      <w:r w:rsidRPr="00EC3710">
        <w:rPr>
          <w:rFonts w:ascii="Arial" w:eastAsia="Times New Roman" w:hAnsi="Arial" w:cs="Arial"/>
          <w:color w:val="333333"/>
          <w:sz w:val="20"/>
          <w:szCs w:val="20"/>
        </w:rPr>
        <w:t>This list is not exhaustive. For a complete list of permissible disclosures of personal health information, please refer to sections 38 – 50 of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11</w:t>
      </w:r>
      <w:r w:rsidRPr="00EC3710">
        <w:rPr>
          <w:rFonts w:ascii="Arial" w:eastAsia="Times New Roman" w:hAnsi="Arial" w:cs="Arial"/>
          <w:color w:val="333333"/>
          <w:sz w:val="20"/>
          <w:szCs w:val="20"/>
        </w:rPr>
        <w:t>Under section 43(1</w:t>
      </w:r>
      <w:proofErr w:type="gramStart"/>
      <w:r w:rsidRPr="00EC3710">
        <w:rPr>
          <w:rFonts w:ascii="Arial" w:eastAsia="Times New Roman" w:hAnsi="Arial" w:cs="Arial"/>
          <w:color w:val="333333"/>
          <w:sz w:val="20"/>
          <w:szCs w:val="20"/>
        </w:rPr>
        <w:t>)(</w:t>
      </w:r>
      <w:proofErr w:type="gramEnd"/>
      <w:r w:rsidRPr="00EC3710">
        <w:rPr>
          <w:rFonts w:ascii="Arial" w:eastAsia="Times New Roman" w:hAnsi="Arial" w:cs="Arial"/>
          <w:color w:val="333333"/>
          <w:sz w:val="20"/>
          <w:szCs w:val="20"/>
        </w:rPr>
        <w:t>h), </w:t>
      </w:r>
      <w:r w:rsidRPr="00EC3710">
        <w:rPr>
          <w:rFonts w:ascii="Arial" w:eastAsia="Times New Roman" w:hAnsi="Arial" w:cs="Arial"/>
          <w:i/>
          <w:iCs/>
          <w:color w:val="333333"/>
          <w:sz w:val="20"/>
          <w:szCs w:val="20"/>
        </w:rPr>
        <w:t>PHIPA</w:t>
      </w:r>
      <w:r w:rsidRPr="00EC3710">
        <w:rPr>
          <w:rFonts w:ascii="Arial" w:eastAsia="Times New Roman" w:hAnsi="Arial" w:cs="Arial"/>
          <w:color w:val="333333"/>
          <w:sz w:val="20"/>
          <w:szCs w:val="20"/>
        </w:rPr>
        <w:t>, whereby a physician can disclose personal health information where permitted or required by law.</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12</w:t>
      </w:r>
      <w:r w:rsidRPr="00EC3710">
        <w:rPr>
          <w:rFonts w:ascii="Arial" w:eastAsia="Times New Roman" w:hAnsi="Arial" w:cs="Arial"/>
          <w:color w:val="333333"/>
          <w:sz w:val="20"/>
          <w:szCs w:val="20"/>
        </w:rPr>
        <w:t>‘Incapacitated’ as defined in section 1(1) of the Health </w:t>
      </w:r>
      <w:r w:rsidRPr="00EC3710">
        <w:rPr>
          <w:rFonts w:ascii="Arial" w:eastAsia="Times New Roman" w:hAnsi="Arial" w:cs="Arial"/>
          <w:i/>
          <w:iCs/>
          <w:color w:val="333333"/>
          <w:sz w:val="20"/>
          <w:szCs w:val="20"/>
        </w:rPr>
        <w:t>Professions Procedural Code, Schedule 2 of the RHPA, 1991, S.O. 1991</w:t>
      </w:r>
      <w:r w:rsidRPr="00EC3710">
        <w:rPr>
          <w:rFonts w:ascii="Arial" w:eastAsia="Times New Roman" w:hAnsi="Arial" w:cs="Arial"/>
          <w:color w:val="333333"/>
          <w:sz w:val="20"/>
          <w:szCs w:val="20"/>
        </w:rPr>
        <w:t xml:space="preserve">, c. 18 means that the member is suffering from a physical or mental condition or disorder that makes it desirable in the interest of the public that the member no longer be permitted to </w:t>
      </w:r>
      <w:proofErr w:type="spellStart"/>
      <w:r w:rsidRPr="00EC3710">
        <w:rPr>
          <w:rFonts w:ascii="Arial" w:eastAsia="Times New Roman" w:hAnsi="Arial" w:cs="Arial"/>
          <w:color w:val="333333"/>
          <w:sz w:val="20"/>
          <w:szCs w:val="20"/>
        </w:rPr>
        <w:t>practise</w:t>
      </w:r>
      <w:proofErr w:type="spellEnd"/>
      <w:r w:rsidRPr="00EC3710">
        <w:rPr>
          <w:rFonts w:ascii="Arial" w:eastAsia="Times New Roman" w:hAnsi="Arial" w:cs="Arial"/>
          <w:color w:val="333333"/>
          <w:sz w:val="20"/>
          <w:szCs w:val="20"/>
        </w:rPr>
        <w:t xml:space="preserve"> or that the member’s practice be restricted.</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13</w:t>
      </w:r>
      <w:r w:rsidRPr="00EC3710">
        <w:rPr>
          <w:rFonts w:ascii="Arial" w:eastAsia="Times New Roman" w:hAnsi="Arial" w:cs="Arial"/>
          <w:color w:val="333333"/>
          <w:sz w:val="20"/>
          <w:szCs w:val="20"/>
        </w:rPr>
        <w:t xml:space="preserve">Further details of these permitted disclosures can be obtained by </w:t>
      </w:r>
      <w:proofErr w:type="spellStart"/>
      <w:r w:rsidRPr="00EC3710">
        <w:rPr>
          <w:rFonts w:ascii="Arial" w:eastAsia="Times New Roman" w:hAnsi="Arial" w:cs="Arial"/>
          <w:color w:val="333333"/>
          <w:sz w:val="20"/>
          <w:szCs w:val="20"/>
        </w:rPr>
        <w:t>consulting</w:t>
      </w:r>
      <w:r w:rsidRPr="00EC3710">
        <w:rPr>
          <w:rFonts w:ascii="Arial" w:eastAsia="Times New Roman" w:hAnsi="Arial" w:cs="Arial"/>
          <w:i/>
          <w:iCs/>
          <w:color w:val="333333"/>
          <w:sz w:val="20"/>
          <w:szCs w:val="20"/>
        </w:rPr>
        <w:t>PHIPA</w:t>
      </w:r>
      <w:proofErr w:type="spellEnd"/>
      <w:r w:rsidRPr="00EC3710">
        <w:rPr>
          <w:rFonts w:ascii="Arial" w:eastAsia="Times New Roman" w:hAnsi="Arial" w:cs="Arial"/>
          <w:i/>
          <w:iCs/>
          <w:color w:val="333333"/>
          <w:sz w:val="20"/>
          <w:szCs w:val="20"/>
        </w:rPr>
        <w:t> </w:t>
      </w:r>
      <w:r w:rsidRPr="00EC3710">
        <w:rPr>
          <w:rFonts w:ascii="Arial" w:eastAsia="Times New Roman" w:hAnsi="Arial" w:cs="Arial"/>
          <w:color w:val="333333"/>
          <w:sz w:val="20"/>
          <w:szCs w:val="20"/>
        </w:rPr>
        <w:t>directly.</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14</w:t>
      </w:r>
      <w:r w:rsidRPr="00EC3710">
        <w:rPr>
          <w:rFonts w:ascii="Arial" w:eastAsia="Times New Roman" w:hAnsi="Arial" w:cs="Arial"/>
          <w:color w:val="333333"/>
          <w:sz w:val="20"/>
          <w:szCs w:val="20"/>
        </w:rPr>
        <w:t>Exceptions include if the information is being held for </w:t>
      </w:r>
      <w:hyperlink r:id="rId14" w:tgtFrame="_self" w:history="1">
        <w:r w:rsidRPr="00EC3710">
          <w:rPr>
            <w:rFonts w:ascii="Arial" w:eastAsia="Times New Roman" w:hAnsi="Arial" w:cs="Arial"/>
            <w:color w:val="E47009"/>
            <w:sz w:val="20"/>
            <w:szCs w:val="20"/>
            <w:u w:val="single"/>
          </w:rPr>
          <w:t>Research</w:t>
        </w:r>
      </w:hyperlink>
      <w:r w:rsidRPr="00EC3710">
        <w:rPr>
          <w:rFonts w:ascii="Arial" w:eastAsia="Times New Roman" w:hAnsi="Arial" w:cs="Arial"/>
          <w:color w:val="333333"/>
          <w:sz w:val="20"/>
          <w:szCs w:val="20"/>
        </w:rPr>
        <w:t> purposes as permitted under </w:t>
      </w:r>
      <w:r w:rsidRPr="00EC3710">
        <w:rPr>
          <w:rFonts w:ascii="Arial" w:eastAsia="Times New Roman" w:hAnsi="Arial" w:cs="Arial"/>
          <w:i/>
          <w:iCs/>
          <w:color w:val="333333"/>
          <w:sz w:val="20"/>
          <w:szCs w:val="20"/>
        </w:rPr>
        <w:t>PHIPA </w:t>
      </w:r>
      <w:r w:rsidRPr="00EC3710">
        <w:rPr>
          <w:rFonts w:ascii="Arial" w:eastAsia="Times New Roman" w:hAnsi="Arial" w:cs="Arial"/>
          <w:color w:val="333333"/>
          <w:sz w:val="20"/>
          <w:szCs w:val="20"/>
        </w:rPr>
        <w:t>or other prescribed exceptions under the </w:t>
      </w:r>
      <w:r w:rsidRPr="00EC3710">
        <w:rPr>
          <w:rFonts w:ascii="Arial" w:eastAsia="Times New Roman" w:hAnsi="Arial" w:cs="Arial"/>
          <w:i/>
          <w:iCs/>
          <w:color w:val="333333"/>
          <w:sz w:val="20"/>
          <w:szCs w:val="20"/>
        </w:rPr>
        <w:t>Act</w:t>
      </w:r>
      <w:r w:rsidRPr="00EC3710">
        <w:rPr>
          <w:rFonts w:ascii="Arial" w:eastAsia="Times New Roman" w:hAnsi="Arial" w:cs="Arial"/>
          <w:color w:val="333333"/>
          <w:sz w:val="20"/>
          <w:szCs w:val="20"/>
        </w:rPr>
        <w:t>.</w:t>
      </w:r>
    </w:p>
    <w:p w:rsidR="00EC3710" w:rsidRPr="00EC3710" w:rsidRDefault="00EC3710" w:rsidP="00EC3710">
      <w:pPr>
        <w:shd w:val="clear" w:color="auto" w:fill="FFFFFF"/>
        <w:spacing w:before="150" w:after="150" w:line="253" w:lineRule="atLeast"/>
        <w:rPr>
          <w:rFonts w:ascii="Arial" w:eastAsia="Times New Roman" w:hAnsi="Arial" w:cs="Arial"/>
          <w:color w:val="222222"/>
          <w:sz w:val="19"/>
          <w:szCs w:val="19"/>
        </w:rPr>
      </w:pPr>
      <w:r w:rsidRPr="00EC3710">
        <w:rPr>
          <w:rFonts w:ascii="Arial" w:eastAsia="Times New Roman" w:hAnsi="Arial" w:cs="Arial"/>
          <w:color w:val="333333"/>
          <w:sz w:val="20"/>
          <w:szCs w:val="20"/>
          <w:vertAlign w:val="superscript"/>
        </w:rPr>
        <w:t>15</w:t>
      </w:r>
      <w:r w:rsidRPr="00EC3710">
        <w:rPr>
          <w:rFonts w:ascii="Arial" w:eastAsia="Times New Roman" w:hAnsi="Arial" w:cs="Arial"/>
          <w:color w:val="333333"/>
          <w:sz w:val="20"/>
          <w:szCs w:val="20"/>
        </w:rPr>
        <w:t>Ontario Regulation 856/93, as amended (made under the </w:t>
      </w:r>
      <w:r w:rsidRPr="00EC3710">
        <w:rPr>
          <w:rFonts w:ascii="Arial" w:eastAsia="Times New Roman" w:hAnsi="Arial" w:cs="Arial"/>
          <w:i/>
          <w:iCs/>
          <w:color w:val="333333"/>
          <w:sz w:val="20"/>
          <w:szCs w:val="20"/>
        </w:rPr>
        <w:t>Medicine Act</w:t>
      </w:r>
      <w:proofErr w:type="gramStart"/>
      <w:r w:rsidRPr="00EC3710">
        <w:rPr>
          <w:rFonts w:ascii="Arial" w:eastAsia="Times New Roman" w:hAnsi="Arial" w:cs="Arial"/>
          <w:color w:val="333333"/>
          <w:sz w:val="20"/>
          <w:szCs w:val="20"/>
        </w:rPr>
        <w:t>,</w:t>
      </w:r>
      <w:r w:rsidRPr="00EC3710">
        <w:rPr>
          <w:rFonts w:ascii="Arial" w:eastAsia="Times New Roman" w:hAnsi="Arial" w:cs="Arial"/>
          <w:i/>
          <w:iCs/>
          <w:color w:val="333333"/>
          <w:sz w:val="20"/>
          <w:szCs w:val="20"/>
        </w:rPr>
        <w:t>1991</w:t>
      </w:r>
      <w:proofErr w:type="gramEnd"/>
      <w:r w:rsidRPr="00EC3710">
        <w:rPr>
          <w:rFonts w:ascii="Arial" w:eastAsia="Times New Roman" w:hAnsi="Arial" w:cs="Arial"/>
          <w:color w:val="333333"/>
          <w:sz w:val="20"/>
          <w:szCs w:val="20"/>
        </w:rPr>
        <w:t>) s. 1(1) paragraph 10.</w:t>
      </w:r>
    </w:p>
    <w:p w:rsidR="00D0292D" w:rsidRPr="00D0292D" w:rsidRDefault="00D0292D" w:rsidP="00EC3710">
      <w:pPr>
        <w:shd w:val="clear" w:color="auto" w:fill="FFFFFF"/>
        <w:spacing w:before="150" w:after="150" w:line="253" w:lineRule="atLeast"/>
        <w:rPr>
          <w:rFonts w:ascii="Arial" w:eastAsia="Times New Roman" w:hAnsi="Arial" w:cs="Arial"/>
          <w:color w:val="222222"/>
          <w:sz w:val="19"/>
          <w:szCs w:val="19"/>
        </w:rPr>
      </w:pPr>
    </w:p>
    <w:sectPr w:rsidR="00D0292D" w:rsidRPr="00D0292D" w:rsidSect="00000B5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33" w:rsidRDefault="00065533" w:rsidP="00CF4AF7">
      <w:pPr>
        <w:spacing w:after="0" w:line="240" w:lineRule="auto"/>
      </w:pPr>
      <w:r>
        <w:separator/>
      </w:r>
    </w:p>
  </w:endnote>
  <w:endnote w:type="continuationSeparator" w:id="0">
    <w:p w:rsidR="00065533" w:rsidRDefault="00065533" w:rsidP="00C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A" w:rsidRDefault="00FD4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r>
      <w:t>Oxcyon</w:t>
    </w:r>
    <w:r>
      <w:ptab w:relativeTo="margin" w:alignment="center" w:leader="none"/>
    </w:r>
    <w:r w:rsidR="00000B58">
      <w:t xml:space="preserve">Centralpoint </w:t>
    </w:r>
    <w:r w:rsidR="00FD44CA">
      <w:t>PHIPA</w:t>
    </w:r>
    <w:r w:rsidR="00D0292D">
      <w:t xml:space="preserve"> </w:t>
    </w:r>
    <w:r w:rsidR="00000B58">
      <w:t>Comp</w:t>
    </w:r>
    <w:r w:rsidR="00FD44CA">
      <w:t>l</w:t>
    </w:r>
    <w:bookmarkStart w:id="0" w:name="_GoBack"/>
    <w:bookmarkEnd w:id="0"/>
    <w:r w:rsidR="00000B58">
      <w:t>iance</w:t>
    </w:r>
    <w:r>
      <w:tab/>
      <w:t>Supplement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A" w:rsidRDefault="00FD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33" w:rsidRDefault="00065533" w:rsidP="00CF4AF7">
      <w:pPr>
        <w:spacing w:after="0" w:line="240" w:lineRule="auto"/>
      </w:pPr>
      <w:r>
        <w:separator/>
      </w:r>
    </w:p>
  </w:footnote>
  <w:footnote w:type="continuationSeparator" w:id="0">
    <w:p w:rsidR="00065533" w:rsidRDefault="00065533" w:rsidP="00CF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A" w:rsidRDefault="00FD4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A" w:rsidRDefault="00FD44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CA" w:rsidRDefault="00FD4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C72"/>
    <w:multiLevelType w:val="multilevel"/>
    <w:tmpl w:val="B7EEB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284FDE"/>
    <w:multiLevelType w:val="multilevel"/>
    <w:tmpl w:val="89D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FE5460"/>
    <w:multiLevelType w:val="multilevel"/>
    <w:tmpl w:val="7F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47D84"/>
    <w:multiLevelType w:val="multilevel"/>
    <w:tmpl w:val="072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6573F"/>
    <w:multiLevelType w:val="multilevel"/>
    <w:tmpl w:val="AA3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967A49"/>
    <w:multiLevelType w:val="multilevel"/>
    <w:tmpl w:val="214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E788D"/>
    <w:multiLevelType w:val="multilevel"/>
    <w:tmpl w:val="05D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FE6DC2"/>
    <w:multiLevelType w:val="multilevel"/>
    <w:tmpl w:val="E6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876F1F"/>
    <w:multiLevelType w:val="multilevel"/>
    <w:tmpl w:val="894E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C3BDA"/>
    <w:multiLevelType w:val="multilevel"/>
    <w:tmpl w:val="D82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9"/>
  </w:num>
  <w:num w:numId="4">
    <w:abstractNumId w:val="7"/>
  </w:num>
  <w:num w:numId="5">
    <w:abstractNumId w:val="4"/>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000B58"/>
    <w:rsid w:val="00065533"/>
    <w:rsid w:val="00593F04"/>
    <w:rsid w:val="00946AC0"/>
    <w:rsid w:val="00CF247A"/>
    <w:rsid w:val="00CF4AF7"/>
    <w:rsid w:val="00D0292D"/>
    <w:rsid w:val="00EC3710"/>
    <w:rsid w:val="00FD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 w:type="character" w:styleId="Emphasis">
    <w:name w:val="Emphasis"/>
    <w:basedOn w:val="DefaultParagraphFont"/>
    <w:uiPriority w:val="20"/>
    <w:qFormat/>
    <w:rsid w:val="00D02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000B58"/>
    <w:rPr>
      <w:color w:val="800080"/>
      <w:u w:val="single"/>
    </w:rPr>
  </w:style>
  <w:style w:type="character" w:customStyle="1" w:styleId="font7">
    <w:name w:val="font7"/>
    <w:basedOn w:val="DefaultParagraphFont"/>
    <w:rsid w:val="00000B58"/>
  </w:style>
  <w:style w:type="character" w:customStyle="1" w:styleId="font6">
    <w:name w:val="font6"/>
    <w:basedOn w:val="DefaultParagraphFont"/>
    <w:rsid w:val="00000B58"/>
  </w:style>
  <w:style w:type="character" w:customStyle="1" w:styleId="font8">
    <w:name w:val="font8"/>
    <w:basedOn w:val="DefaultParagraphFont"/>
    <w:rsid w:val="00000B58"/>
  </w:style>
  <w:style w:type="character" w:customStyle="1" w:styleId="cpwebsmartlinks">
    <w:name w:val="cpweb_smartlinks"/>
    <w:basedOn w:val="DefaultParagraphFont"/>
    <w:rsid w:val="00000B58"/>
  </w:style>
  <w:style w:type="character" w:customStyle="1" w:styleId="font5">
    <w:name w:val="font5"/>
    <w:basedOn w:val="DefaultParagraphFont"/>
    <w:rsid w:val="00000B58"/>
  </w:style>
  <w:style w:type="character" w:customStyle="1" w:styleId="font9">
    <w:name w:val="font9"/>
    <w:basedOn w:val="DefaultParagraphFont"/>
    <w:rsid w:val="00000B58"/>
  </w:style>
  <w:style w:type="character" w:styleId="Emphasis">
    <w:name w:val="Emphasis"/>
    <w:basedOn w:val="DefaultParagraphFont"/>
    <w:uiPriority w:val="20"/>
    <w:qFormat/>
    <w:rsid w:val="00D02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4606">
      <w:bodyDiv w:val="1"/>
      <w:marLeft w:val="0"/>
      <w:marRight w:val="0"/>
      <w:marTop w:val="0"/>
      <w:marBottom w:val="0"/>
      <w:divBdr>
        <w:top w:val="none" w:sz="0" w:space="0" w:color="auto"/>
        <w:left w:val="none" w:sz="0" w:space="0" w:color="auto"/>
        <w:bottom w:val="none" w:sz="0" w:space="0" w:color="auto"/>
        <w:right w:val="none" w:sz="0" w:space="0" w:color="auto"/>
      </w:divBdr>
    </w:div>
    <w:div w:id="379865921">
      <w:bodyDiv w:val="1"/>
      <w:marLeft w:val="0"/>
      <w:marRight w:val="0"/>
      <w:marTop w:val="0"/>
      <w:marBottom w:val="0"/>
      <w:divBdr>
        <w:top w:val="none" w:sz="0" w:space="0" w:color="auto"/>
        <w:left w:val="none" w:sz="0" w:space="0" w:color="auto"/>
        <w:bottom w:val="none" w:sz="0" w:space="0" w:color="auto"/>
        <w:right w:val="none" w:sz="0" w:space="0" w:color="auto"/>
      </w:divBdr>
    </w:div>
    <w:div w:id="479809382">
      <w:bodyDiv w:val="1"/>
      <w:marLeft w:val="0"/>
      <w:marRight w:val="0"/>
      <w:marTop w:val="0"/>
      <w:marBottom w:val="0"/>
      <w:divBdr>
        <w:top w:val="none" w:sz="0" w:space="0" w:color="auto"/>
        <w:left w:val="none" w:sz="0" w:space="0" w:color="auto"/>
        <w:bottom w:val="none" w:sz="0" w:space="0" w:color="auto"/>
        <w:right w:val="none" w:sz="0" w:space="0" w:color="auto"/>
      </w:divBdr>
    </w:div>
    <w:div w:id="888304325">
      <w:bodyDiv w:val="1"/>
      <w:marLeft w:val="0"/>
      <w:marRight w:val="0"/>
      <w:marTop w:val="0"/>
      <w:marBottom w:val="0"/>
      <w:divBdr>
        <w:top w:val="none" w:sz="0" w:space="0" w:color="auto"/>
        <w:left w:val="none" w:sz="0" w:space="0" w:color="auto"/>
        <w:bottom w:val="none" w:sz="0" w:space="0" w:color="auto"/>
        <w:right w:val="none" w:sz="0" w:space="0" w:color="auto"/>
      </w:divBdr>
    </w:div>
    <w:div w:id="1303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cyon.com/centralpoint-dxp/module-gallery1/centralpoint" TargetMode="External"/><Relationship Id="rId13" Type="http://schemas.openxmlformats.org/officeDocument/2006/relationships/hyperlink" Target="https://www.oxcyon.com/centralpoint-dxp/module-gallery1/centralpoint-forms-to-document-129"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xcyon.com/centralpoint-dxp/module-gallery1/centralpoint-global-login-sso-1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xcyon.com/centralpoint-dxp/module-gallery1/centralpoint-global-login-sso-1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xcyon.com/centralpoint-dxp/module-gallery1/centralpoin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pso.on.ca/Policies-Publications/Policy/Mandatory-and-Permissive-Reporting" TargetMode="External"/><Relationship Id="rId14" Type="http://schemas.openxmlformats.org/officeDocument/2006/relationships/hyperlink" Target="https://www.oxcyon.com/centralpoint-dxp/news/oxcyon-in-gartners-2018-magic-quadrant-for-digital-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Keller</dc:creator>
  <cp:lastModifiedBy>Sam Keller</cp:lastModifiedBy>
  <cp:revision>2</cp:revision>
  <dcterms:created xsi:type="dcterms:W3CDTF">2018-10-25T18:48:00Z</dcterms:created>
  <dcterms:modified xsi:type="dcterms:W3CDTF">2018-10-25T18:48:00Z</dcterms:modified>
</cp:coreProperties>
</file>